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BE8E" w14:textId="77777777" w:rsidR="00DC28EA" w:rsidRDefault="00DC28EA" w:rsidP="00380D86">
      <w:pPr>
        <w:pStyle w:val="NoSpacing"/>
      </w:pPr>
      <w:bookmarkStart w:id="0" w:name="_Hlk16861082"/>
    </w:p>
    <w:p w14:paraId="679C36B5" w14:textId="77777777" w:rsidR="00DC28EA" w:rsidRDefault="00DC28EA" w:rsidP="00730AD9">
      <w:pPr>
        <w:jc w:val="center"/>
        <w:rPr>
          <w:b/>
          <w:bCs/>
          <w:sz w:val="20"/>
          <w:szCs w:val="20"/>
        </w:rPr>
      </w:pPr>
    </w:p>
    <w:p w14:paraId="6EEBB7E2" w14:textId="77777777" w:rsidR="00DC28EA" w:rsidRDefault="00DC28EA" w:rsidP="00730AD9">
      <w:pPr>
        <w:jc w:val="center"/>
        <w:rPr>
          <w:b/>
          <w:bCs/>
          <w:sz w:val="20"/>
          <w:szCs w:val="20"/>
        </w:rPr>
      </w:pPr>
    </w:p>
    <w:p w14:paraId="63FA5C26" w14:textId="77777777" w:rsidR="00DC28EA" w:rsidRDefault="00DC28EA" w:rsidP="00730AD9">
      <w:pPr>
        <w:jc w:val="center"/>
        <w:rPr>
          <w:b/>
          <w:bCs/>
          <w:sz w:val="20"/>
          <w:szCs w:val="20"/>
        </w:rPr>
      </w:pPr>
    </w:p>
    <w:p w14:paraId="16AE122C" w14:textId="77777777" w:rsidR="00DC28EA" w:rsidRDefault="00DC28EA" w:rsidP="00730AD9">
      <w:pPr>
        <w:jc w:val="center"/>
        <w:rPr>
          <w:b/>
          <w:bCs/>
          <w:sz w:val="20"/>
          <w:szCs w:val="20"/>
        </w:rPr>
      </w:pPr>
    </w:p>
    <w:p w14:paraId="2EFBD8D5" w14:textId="77777777" w:rsidR="00DC28EA" w:rsidRDefault="00DC28EA" w:rsidP="00730AD9">
      <w:pPr>
        <w:jc w:val="center"/>
        <w:rPr>
          <w:b/>
          <w:bCs/>
          <w:sz w:val="20"/>
          <w:szCs w:val="20"/>
        </w:rPr>
      </w:pPr>
    </w:p>
    <w:p w14:paraId="0EBA3BB9" w14:textId="77777777" w:rsidR="00DC28EA" w:rsidRDefault="00DC28EA" w:rsidP="00730AD9">
      <w:pPr>
        <w:jc w:val="center"/>
        <w:rPr>
          <w:b/>
          <w:bCs/>
          <w:sz w:val="20"/>
          <w:szCs w:val="20"/>
        </w:rPr>
      </w:pPr>
    </w:p>
    <w:p w14:paraId="1991E19B" w14:textId="77777777" w:rsidR="00DC28EA" w:rsidRDefault="00DC28EA" w:rsidP="00730AD9">
      <w:pPr>
        <w:jc w:val="center"/>
        <w:rPr>
          <w:b/>
          <w:bCs/>
          <w:sz w:val="20"/>
          <w:szCs w:val="20"/>
        </w:rPr>
      </w:pPr>
    </w:p>
    <w:p w14:paraId="0C88B008" w14:textId="77777777" w:rsidR="00DC28EA" w:rsidRDefault="00DC28EA" w:rsidP="00730AD9">
      <w:pPr>
        <w:jc w:val="center"/>
        <w:rPr>
          <w:b/>
          <w:bCs/>
          <w:sz w:val="20"/>
          <w:szCs w:val="20"/>
        </w:rPr>
      </w:pPr>
    </w:p>
    <w:p w14:paraId="72D5E9A3" w14:textId="77777777" w:rsidR="00DC28EA" w:rsidRDefault="00DC28EA" w:rsidP="00730AD9">
      <w:pPr>
        <w:jc w:val="center"/>
        <w:rPr>
          <w:b/>
          <w:bCs/>
          <w:sz w:val="20"/>
          <w:szCs w:val="20"/>
        </w:rPr>
      </w:pPr>
    </w:p>
    <w:p w14:paraId="1370FE0A" w14:textId="77777777" w:rsidR="00DC28EA" w:rsidRDefault="00DC28EA" w:rsidP="00730AD9">
      <w:pPr>
        <w:jc w:val="center"/>
        <w:rPr>
          <w:b/>
          <w:bCs/>
          <w:sz w:val="20"/>
          <w:szCs w:val="20"/>
        </w:rPr>
      </w:pPr>
    </w:p>
    <w:p w14:paraId="70CE87CB" w14:textId="77777777" w:rsidR="00DC28EA" w:rsidRDefault="00DC28EA" w:rsidP="00730AD9">
      <w:pPr>
        <w:jc w:val="center"/>
        <w:rPr>
          <w:b/>
          <w:bCs/>
          <w:sz w:val="20"/>
          <w:szCs w:val="20"/>
        </w:rPr>
      </w:pPr>
    </w:p>
    <w:p w14:paraId="3E3C5F7F" w14:textId="77777777" w:rsidR="00DC28EA" w:rsidRDefault="00DC28EA" w:rsidP="00730AD9">
      <w:pPr>
        <w:jc w:val="center"/>
        <w:rPr>
          <w:b/>
          <w:bCs/>
          <w:sz w:val="20"/>
          <w:szCs w:val="20"/>
        </w:rPr>
      </w:pPr>
    </w:p>
    <w:p w14:paraId="2D286294" w14:textId="77777777" w:rsidR="00DC28EA" w:rsidRDefault="00DC28EA" w:rsidP="00730AD9">
      <w:pPr>
        <w:jc w:val="center"/>
        <w:rPr>
          <w:b/>
          <w:bCs/>
          <w:sz w:val="20"/>
          <w:szCs w:val="20"/>
        </w:rPr>
      </w:pPr>
    </w:p>
    <w:p w14:paraId="28DD247F" w14:textId="43C16C39" w:rsidR="00F958EC" w:rsidRDefault="00CD0023" w:rsidP="00730AD9">
      <w:pPr>
        <w:jc w:val="center"/>
        <w:rPr>
          <w:b/>
          <w:bCs/>
          <w:sz w:val="32"/>
          <w:szCs w:val="32"/>
        </w:rPr>
      </w:pPr>
      <w:r>
        <w:rPr>
          <w:b/>
          <w:bCs/>
          <w:sz w:val="32"/>
          <w:szCs w:val="32"/>
        </w:rPr>
        <w:t>MARBLE FINANCIAL INC.</w:t>
      </w:r>
    </w:p>
    <w:p w14:paraId="0CD12AAA" w14:textId="77777777" w:rsidR="00DC28EA" w:rsidRDefault="00DC28EA" w:rsidP="00730AD9">
      <w:pPr>
        <w:jc w:val="center"/>
        <w:rPr>
          <w:b/>
          <w:bCs/>
          <w:sz w:val="20"/>
          <w:szCs w:val="20"/>
        </w:rPr>
      </w:pPr>
    </w:p>
    <w:p w14:paraId="4F5E7DFF" w14:textId="26295779" w:rsidR="00DC28EA" w:rsidRDefault="00D16E49" w:rsidP="00730AD9">
      <w:pPr>
        <w:jc w:val="center"/>
        <w:rPr>
          <w:sz w:val="20"/>
          <w:szCs w:val="20"/>
        </w:rPr>
      </w:pPr>
      <w:r>
        <w:rPr>
          <w:sz w:val="20"/>
          <w:szCs w:val="20"/>
        </w:rPr>
        <w:t xml:space="preserve">Condensed </w:t>
      </w:r>
      <w:r w:rsidR="00DC28EA">
        <w:rPr>
          <w:sz w:val="20"/>
          <w:szCs w:val="20"/>
        </w:rPr>
        <w:t>Consolidated</w:t>
      </w:r>
      <w:r>
        <w:rPr>
          <w:sz w:val="20"/>
          <w:szCs w:val="20"/>
        </w:rPr>
        <w:t xml:space="preserve"> Interim</w:t>
      </w:r>
      <w:r w:rsidR="00DC28EA">
        <w:rPr>
          <w:sz w:val="20"/>
          <w:szCs w:val="20"/>
        </w:rPr>
        <w:t xml:space="preserve"> Financial Statement</w:t>
      </w:r>
      <w:r w:rsidR="0080687B">
        <w:rPr>
          <w:sz w:val="20"/>
          <w:szCs w:val="20"/>
        </w:rPr>
        <w:t>s</w:t>
      </w:r>
    </w:p>
    <w:p w14:paraId="7714747D" w14:textId="77777777" w:rsidR="00DC28EA" w:rsidRDefault="00DC28EA" w:rsidP="00730AD9">
      <w:pPr>
        <w:jc w:val="center"/>
        <w:rPr>
          <w:sz w:val="20"/>
          <w:szCs w:val="20"/>
        </w:rPr>
      </w:pPr>
    </w:p>
    <w:p w14:paraId="66C5E7A1" w14:textId="6783BE2E" w:rsidR="00DC28EA" w:rsidRDefault="00DC28EA" w:rsidP="00730AD9">
      <w:pPr>
        <w:jc w:val="center"/>
        <w:rPr>
          <w:sz w:val="20"/>
          <w:szCs w:val="20"/>
        </w:rPr>
      </w:pPr>
      <w:r>
        <w:rPr>
          <w:sz w:val="20"/>
          <w:szCs w:val="20"/>
        </w:rPr>
        <w:t>For the</w:t>
      </w:r>
      <w:r w:rsidR="00FB5388">
        <w:rPr>
          <w:sz w:val="20"/>
          <w:szCs w:val="20"/>
        </w:rPr>
        <w:t xml:space="preserve"> three and</w:t>
      </w:r>
      <w:r>
        <w:rPr>
          <w:sz w:val="20"/>
          <w:szCs w:val="20"/>
        </w:rPr>
        <w:t xml:space="preserve"> </w:t>
      </w:r>
      <w:r w:rsidR="00C117D6">
        <w:rPr>
          <w:sz w:val="20"/>
          <w:szCs w:val="20"/>
        </w:rPr>
        <w:t>six months</w:t>
      </w:r>
      <w:r w:rsidR="00D16E49">
        <w:rPr>
          <w:sz w:val="20"/>
          <w:szCs w:val="20"/>
        </w:rPr>
        <w:t xml:space="preserve"> </w:t>
      </w:r>
      <w:r w:rsidR="00242FE7">
        <w:rPr>
          <w:sz w:val="20"/>
          <w:szCs w:val="20"/>
        </w:rPr>
        <w:t xml:space="preserve">ended </w:t>
      </w:r>
      <w:r w:rsidR="00C117D6">
        <w:rPr>
          <w:sz w:val="20"/>
          <w:szCs w:val="20"/>
        </w:rPr>
        <w:t>June 30</w:t>
      </w:r>
      <w:r w:rsidR="00242FE7">
        <w:rPr>
          <w:sz w:val="20"/>
          <w:szCs w:val="20"/>
        </w:rPr>
        <w:t xml:space="preserve">, </w:t>
      </w:r>
      <w:proofErr w:type="gramStart"/>
      <w:r w:rsidR="00242FE7">
        <w:rPr>
          <w:sz w:val="20"/>
          <w:szCs w:val="20"/>
        </w:rPr>
        <w:t>20</w:t>
      </w:r>
      <w:r w:rsidR="00D16E49">
        <w:rPr>
          <w:sz w:val="20"/>
          <w:szCs w:val="20"/>
        </w:rPr>
        <w:t>2</w:t>
      </w:r>
      <w:r w:rsidR="00E3061B">
        <w:rPr>
          <w:sz w:val="20"/>
          <w:szCs w:val="20"/>
        </w:rPr>
        <w:t>1</w:t>
      </w:r>
      <w:proofErr w:type="gramEnd"/>
      <w:r w:rsidR="00242FE7">
        <w:rPr>
          <w:sz w:val="20"/>
          <w:szCs w:val="20"/>
        </w:rPr>
        <w:t xml:space="preserve"> and 20</w:t>
      </w:r>
      <w:r w:rsidR="00E3061B">
        <w:rPr>
          <w:sz w:val="20"/>
          <w:szCs w:val="20"/>
        </w:rPr>
        <w:t>20</w:t>
      </w:r>
    </w:p>
    <w:p w14:paraId="5153EE05" w14:textId="30362DB0" w:rsidR="00DC28EA" w:rsidRDefault="00DC28EA" w:rsidP="00730AD9">
      <w:pPr>
        <w:jc w:val="center"/>
        <w:rPr>
          <w:i/>
          <w:iCs/>
          <w:sz w:val="20"/>
          <w:szCs w:val="20"/>
        </w:rPr>
      </w:pPr>
      <w:r w:rsidRPr="00D60C9E">
        <w:rPr>
          <w:i/>
          <w:iCs/>
          <w:sz w:val="20"/>
          <w:szCs w:val="20"/>
        </w:rPr>
        <w:t>(</w:t>
      </w:r>
      <w:r w:rsidR="00AE5124">
        <w:rPr>
          <w:i/>
          <w:iCs/>
          <w:sz w:val="20"/>
          <w:szCs w:val="20"/>
        </w:rPr>
        <w:t xml:space="preserve">Unaudited – </w:t>
      </w:r>
      <w:r w:rsidRPr="00D60C9E">
        <w:rPr>
          <w:i/>
          <w:iCs/>
          <w:sz w:val="20"/>
          <w:szCs w:val="20"/>
        </w:rPr>
        <w:t>Expressed in Canadian Dollars)</w:t>
      </w:r>
    </w:p>
    <w:p w14:paraId="1BDF0A30" w14:textId="34736D37" w:rsidR="00DC28EA" w:rsidRDefault="00DC28EA" w:rsidP="00730AD9">
      <w:pPr>
        <w:jc w:val="center"/>
        <w:rPr>
          <w:sz w:val="20"/>
          <w:szCs w:val="20"/>
        </w:rPr>
        <w:sectPr w:rsidR="00DC28EA">
          <w:footerReference w:type="default" r:id="rId11"/>
          <w:pgSz w:w="12240" w:h="15840"/>
          <w:pgMar w:top="1440" w:right="1440" w:bottom="1440" w:left="1440" w:header="708" w:footer="708" w:gutter="0"/>
          <w:cols w:space="708"/>
          <w:docGrid w:linePitch="360"/>
        </w:sectPr>
      </w:pPr>
    </w:p>
    <w:p w14:paraId="3473AA5F" w14:textId="77777777" w:rsidR="00D16E49" w:rsidRPr="00A1490E" w:rsidRDefault="00D16E49" w:rsidP="00D16E49">
      <w:pPr>
        <w:jc w:val="center"/>
        <w:rPr>
          <w:b/>
          <w:sz w:val="20"/>
        </w:rPr>
      </w:pPr>
      <w:r w:rsidRPr="00A1490E">
        <w:rPr>
          <w:b/>
          <w:sz w:val="20"/>
        </w:rPr>
        <w:lastRenderedPageBreak/>
        <w:t>NOTICE OF NO AUDITOR REVIEW OF</w:t>
      </w:r>
    </w:p>
    <w:p w14:paraId="76639B3C" w14:textId="78C227B7" w:rsidR="00D16E49" w:rsidRPr="00A1490E" w:rsidRDefault="00D16E49" w:rsidP="00A1490E">
      <w:pPr>
        <w:jc w:val="center"/>
        <w:rPr>
          <w:b/>
          <w:sz w:val="20"/>
        </w:rPr>
      </w:pPr>
      <w:r w:rsidRPr="00A1490E">
        <w:rPr>
          <w:b/>
          <w:sz w:val="20"/>
        </w:rPr>
        <w:t>CONDENSED CONSOLIDATED INTERIM FINANCIAL STATEMENTS</w:t>
      </w:r>
    </w:p>
    <w:p w14:paraId="6F9E7DF2" w14:textId="77777777" w:rsidR="00AE5124" w:rsidRDefault="00AE5124" w:rsidP="00D16E49">
      <w:pPr>
        <w:rPr>
          <w:sz w:val="20"/>
        </w:rPr>
      </w:pPr>
    </w:p>
    <w:p w14:paraId="566221C4" w14:textId="7ADBD40B" w:rsidR="00D16E49" w:rsidRDefault="00D16E49" w:rsidP="00AE5124">
      <w:pPr>
        <w:jc w:val="both"/>
        <w:rPr>
          <w:sz w:val="20"/>
        </w:rPr>
      </w:pPr>
      <w:r w:rsidRPr="00A1490E">
        <w:rPr>
          <w:sz w:val="20"/>
        </w:rPr>
        <w:t xml:space="preserve">Under National Instrument 51-102, Part 4, subsection 4.3 (3) (a), if an auditor has not performed a review of the condensed consolidated interim financial statements, they must be accompanied by a notice indicating that an auditor has not reviewed the financial statements. </w:t>
      </w:r>
    </w:p>
    <w:p w14:paraId="5E6298AA" w14:textId="77777777" w:rsidR="00AE5124" w:rsidRPr="00A1490E" w:rsidRDefault="00AE5124" w:rsidP="00802853">
      <w:pPr>
        <w:jc w:val="both"/>
        <w:rPr>
          <w:sz w:val="20"/>
        </w:rPr>
      </w:pPr>
    </w:p>
    <w:p w14:paraId="23F06267" w14:textId="16C49991" w:rsidR="00D16E49" w:rsidRDefault="00D16E49" w:rsidP="00AE5124">
      <w:pPr>
        <w:jc w:val="both"/>
        <w:rPr>
          <w:sz w:val="20"/>
        </w:rPr>
      </w:pPr>
      <w:r w:rsidRPr="00A1490E">
        <w:rPr>
          <w:sz w:val="20"/>
        </w:rPr>
        <w:t xml:space="preserve">The accompanying unaudited condensed consolidated interim financial statements of the </w:t>
      </w:r>
      <w:r w:rsidR="00FB5388">
        <w:rPr>
          <w:sz w:val="20"/>
        </w:rPr>
        <w:t>Company</w:t>
      </w:r>
      <w:r w:rsidR="00FB5388" w:rsidRPr="00A1490E">
        <w:rPr>
          <w:sz w:val="20"/>
        </w:rPr>
        <w:t xml:space="preserve"> </w:t>
      </w:r>
      <w:r w:rsidRPr="00A1490E">
        <w:rPr>
          <w:sz w:val="20"/>
        </w:rPr>
        <w:t xml:space="preserve">have been prepared by and are the responsibility of the </w:t>
      </w:r>
      <w:r w:rsidR="00EB013A">
        <w:rPr>
          <w:sz w:val="20"/>
        </w:rPr>
        <w:t>Company</w:t>
      </w:r>
      <w:r w:rsidR="00EB013A" w:rsidRPr="00A1490E">
        <w:rPr>
          <w:sz w:val="20"/>
        </w:rPr>
        <w:t xml:space="preserve">’s </w:t>
      </w:r>
      <w:r w:rsidRPr="00A1490E">
        <w:rPr>
          <w:sz w:val="20"/>
        </w:rPr>
        <w:t xml:space="preserve">management. </w:t>
      </w:r>
    </w:p>
    <w:p w14:paraId="77A6EB5F" w14:textId="77777777" w:rsidR="00AE5124" w:rsidRPr="00A1490E" w:rsidRDefault="00AE5124" w:rsidP="00802853">
      <w:pPr>
        <w:jc w:val="both"/>
        <w:rPr>
          <w:sz w:val="20"/>
        </w:rPr>
      </w:pPr>
    </w:p>
    <w:p w14:paraId="57FBBC38" w14:textId="3B0AF590" w:rsidR="00D16E49" w:rsidRPr="00A1490E" w:rsidRDefault="00D16E49" w:rsidP="00802853">
      <w:pPr>
        <w:keepNext/>
        <w:tabs>
          <w:tab w:val="left" w:pos="630"/>
          <w:tab w:val="left" w:pos="900"/>
          <w:tab w:val="right" w:pos="9360"/>
        </w:tabs>
        <w:jc w:val="both"/>
        <w:outlineLvl w:val="0"/>
        <w:rPr>
          <w:sz w:val="20"/>
        </w:rPr>
      </w:pPr>
      <w:r w:rsidRPr="00A1490E">
        <w:rPr>
          <w:sz w:val="20"/>
        </w:rPr>
        <w:t xml:space="preserve">The </w:t>
      </w:r>
      <w:r w:rsidR="00EB013A">
        <w:rPr>
          <w:sz w:val="20"/>
        </w:rPr>
        <w:t>Company</w:t>
      </w:r>
      <w:r w:rsidR="00EB013A" w:rsidRPr="00A1490E">
        <w:rPr>
          <w:sz w:val="20"/>
        </w:rPr>
        <w:t xml:space="preserve">’s </w:t>
      </w:r>
      <w:r w:rsidRPr="00A1490E">
        <w:rPr>
          <w:sz w:val="20"/>
        </w:rPr>
        <w:t xml:space="preserve">independent auditor has not performed a review of these condensed consolidated interim financial statements in accordance with standards established by the </w:t>
      </w:r>
      <w:r w:rsidR="00EB013A" w:rsidRPr="00EB013A">
        <w:rPr>
          <w:sz w:val="20"/>
        </w:rPr>
        <w:t>Chartered Professional Accountants of Canada</w:t>
      </w:r>
      <w:r w:rsidR="00EB013A" w:rsidRPr="00EB013A" w:rsidDel="00EB013A">
        <w:rPr>
          <w:sz w:val="20"/>
        </w:rPr>
        <w:t xml:space="preserve"> </w:t>
      </w:r>
      <w:r w:rsidRPr="00A1490E">
        <w:rPr>
          <w:sz w:val="20"/>
        </w:rPr>
        <w:t>for a review of interim financial statements by an entity’s auditor.</w:t>
      </w:r>
    </w:p>
    <w:p w14:paraId="0B60FD7D" w14:textId="14208DBB" w:rsidR="00EB575C" w:rsidRPr="00A1490E" w:rsidRDefault="00D16E49" w:rsidP="00802853">
      <w:pPr>
        <w:jc w:val="both"/>
        <w:rPr>
          <w:sz w:val="20"/>
        </w:rPr>
        <w:sectPr w:rsidR="00EB575C" w:rsidRPr="00A1490E">
          <w:pgSz w:w="12240" w:h="15840"/>
          <w:pgMar w:top="1440" w:right="1440" w:bottom="1440" w:left="1440" w:header="708" w:footer="708" w:gutter="0"/>
          <w:cols w:space="708"/>
          <w:docGrid w:linePitch="360"/>
        </w:sectPr>
      </w:pPr>
      <w:r>
        <w:rPr>
          <w:sz w:val="20"/>
        </w:rPr>
        <w:br w:type="page"/>
      </w:r>
    </w:p>
    <w:tbl>
      <w:tblPr>
        <w:tblW w:w="5000" w:type="pct"/>
        <w:tblLayout w:type="fixed"/>
        <w:tblLook w:val="04A0" w:firstRow="1" w:lastRow="0" w:firstColumn="1" w:lastColumn="0" w:noHBand="0" w:noVBand="1"/>
      </w:tblPr>
      <w:tblGrid>
        <w:gridCol w:w="5145"/>
        <w:gridCol w:w="455"/>
        <w:gridCol w:w="1717"/>
        <w:gridCol w:w="328"/>
        <w:gridCol w:w="1715"/>
      </w:tblGrid>
      <w:tr w:rsidR="00282F54" w:rsidRPr="00760411" w14:paraId="620C0A99" w14:textId="77777777" w:rsidTr="00835C5B">
        <w:trPr>
          <w:trHeight w:val="240"/>
        </w:trPr>
        <w:tc>
          <w:tcPr>
            <w:tcW w:w="2748" w:type="pct"/>
            <w:tcBorders>
              <w:top w:val="double" w:sz="6" w:space="0" w:color="auto"/>
              <w:left w:val="nil"/>
              <w:bottom w:val="nil"/>
              <w:right w:val="nil"/>
            </w:tcBorders>
            <w:shd w:val="clear" w:color="auto" w:fill="auto"/>
            <w:vAlign w:val="center"/>
            <w:hideMark/>
          </w:tcPr>
          <w:p w14:paraId="17DF2088" w14:textId="77777777" w:rsidR="00282F54" w:rsidRPr="00760411" w:rsidRDefault="00282F54" w:rsidP="00282F54">
            <w:pPr>
              <w:rPr>
                <w:color w:val="000000"/>
                <w:sz w:val="20"/>
                <w:szCs w:val="20"/>
              </w:rPr>
            </w:pPr>
            <w:r w:rsidRPr="00760411">
              <w:rPr>
                <w:color w:val="000000"/>
                <w:sz w:val="20"/>
                <w:szCs w:val="20"/>
              </w:rPr>
              <w:lastRenderedPageBreak/>
              <w:t> </w:t>
            </w:r>
          </w:p>
        </w:tc>
        <w:tc>
          <w:tcPr>
            <w:tcW w:w="243" w:type="pct"/>
            <w:tcBorders>
              <w:top w:val="double" w:sz="6" w:space="0" w:color="auto"/>
              <w:left w:val="nil"/>
              <w:bottom w:val="nil"/>
              <w:right w:val="nil"/>
            </w:tcBorders>
            <w:shd w:val="clear" w:color="auto" w:fill="auto"/>
            <w:vAlign w:val="center"/>
            <w:hideMark/>
          </w:tcPr>
          <w:p w14:paraId="65EFC5D0" w14:textId="77777777" w:rsidR="00282F54" w:rsidRPr="00760411" w:rsidRDefault="00282F54" w:rsidP="00282F54">
            <w:pPr>
              <w:rPr>
                <w:color w:val="000000"/>
                <w:sz w:val="20"/>
                <w:szCs w:val="20"/>
              </w:rPr>
            </w:pPr>
            <w:r w:rsidRPr="00760411">
              <w:rPr>
                <w:color w:val="000000"/>
                <w:sz w:val="20"/>
                <w:szCs w:val="20"/>
              </w:rPr>
              <w:t> </w:t>
            </w:r>
          </w:p>
        </w:tc>
        <w:tc>
          <w:tcPr>
            <w:tcW w:w="917" w:type="pct"/>
            <w:tcBorders>
              <w:top w:val="double" w:sz="6" w:space="0" w:color="auto"/>
              <w:left w:val="nil"/>
              <w:bottom w:val="nil"/>
              <w:right w:val="nil"/>
            </w:tcBorders>
            <w:shd w:val="clear" w:color="auto" w:fill="auto"/>
            <w:vAlign w:val="center"/>
            <w:hideMark/>
          </w:tcPr>
          <w:p w14:paraId="3A84B68C" w14:textId="4B821643" w:rsidR="00282F54" w:rsidRPr="00760411" w:rsidRDefault="00C117D6" w:rsidP="00282F54">
            <w:pPr>
              <w:jc w:val="right"/>
              <w:rPr>
                <w:b/>
                <w:bCs/>
                <w:color w:val="000000"/>
                <w:sz w:val="20"/>
                <w:szCs w:val="20"/>
              </w:rPr>
            </w:pPr>
            <w:r w:rsidRPr="00760411">
              <w:rPr>
                <w:b/>
                <w:bCs/>
                <w:color w:val="000000"/>
                <w:sz w:val="20"/>
                <w:szCs w:val="20"/>
              </w:rPr>
              <w:t>June 30</w:t>
            </w:r>
            <w:r w:rsidR="00282F54" w:rsidRPr="00760411">
              <w:rPr>
                <w:b/>
                <w:bCs/>
                <w:color w:val="000000"/>
                <w:sz w:val="20"/>
                <w:szCs w:val="20"/>
              </w:rPr>
              <w:t xml:space="preserve">, </w:t>
            </w:r>
          </w:p>
        </w:tc>
        <w:tc>
          <w:tcPr>
            <w:tcW w:w="175" w:type="pct"/>
            <w:tcBorders>
              <w:top w:val="double" w:sz="6" w:space="0" w:color="auto"/>
              <w:left w:val="nil"/>
              <w:bottom w:val="nil"/>
              <w:right w:val="nil"/>
            </w:tcBorders>
            <w:shd w:val="clear" w:color="auto" w:fill="auto"/>
            <w:vAlign w:val="center"/>
            <w:hideMark/>
          </w:tcPr>
          <w:p w14:paraId="105BE79D" w14:textId="77777777" w:rsidR="00282F54" w:rsidRPr="00760411" w:rsidRDefault="00282F54" w:rsidP="00282F54">
            <w:pPr>
              <w:jc w:val="right"/>
              <w:rPr>
                <w:b/>
                <w:bCs/>
                <w:color w:val="000000"/>
                <w:sz w:val="20"/>
                <w:szCs w:val="20"/>
              </w:rPr>
            </w:pPr>
            <w:r w:rsidRPr="00760411">
              <w:rPr>
                <w:b/>
                <w:bCs/>
                <w:color w:val="000000"/>
                <w:sz w:val="20"/>
                <w:szCs w:val="20"/>
              </w:rPr>
              <w:t> </w:t>
            </w:r>
          </w:p>
        </w:tc>
        <w:tc>
          <w:tcPr>
            <w:tcW w:w="916" w:type="pct"/>
            <w:tcBorders>
              <w:top w:val="double" w:sz="6" w:space="0" w:color="auto"/>
              <w:left w:val="nil"/>
              <w:bottom w:val="nil"/>
              <w:right w:val="nil"/>
            </w:tcBorders>
            <w:shd w:val="clear" w:color="auto" w:fill="auto"/>
            <w:vAlign w:val="center"/>
            <w:hideMark/>
          </w:tcPr>
          <w:p w14:paraId="30D121D7" w14:textId="77777777" w:rsidR="00282F54" w:rsidRPr="00760411" w:rsidRDefault="00282F54" w:rsidP="00282F54">
            <w:pPr>
              <w:jc w:val="right"/>
              <w:rPr>
                <w:b/>
                <w:bCs/>
                <w:color w:val="000000"/>
                <w:sz w:val="20"/>
                <w:szCs w:val="20"/>
              </w:rPr>
            </w:pPr>
            <w:r w:rsidRPr="00760411">
              <w:rPr>
                <w:b/>
                <w:bCs/>
                <w:color w:val="000000"/>
                <w:sz w:val="20"/>
                <w:szCs w:val="20"/>
              </w:rPr>
              <w:t xml:space="preserve">December 31, </w:t>
            </w:r>
          </w:p>
        </w:tc>
      </w:tr>
      <w:tr w:rsidR="00282F54" w:rsidRPr="00760411" w14:paraId="029C915C"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02FF7317" w14:textId="77777777" w:rsidR="00282F54" w:rsidRPr="00760411" w:rsidRDefault="00282F54" w:rsidP="00282F54">
            <w:pPr>
              <w:rPr>
                <w:b/>
                <w:bCs/>
                <w:color w:val="000000"/>
                <w:sz w:val="20"/>
                <w:szCs w:val="20"/>
              </w:rPr>
            </w:pPr>
            <w:r w:rsidRPr="00760411">
              <w:rPr>
                <w:b/>
                <w:bCs/>
                <w:color w:val="000000"/>
                <w:sz w:val="20"/>
                <w:szCs w:val="20"/>
              </w:rPr>
              <w:t>AS AT</w:t>
            </w:r>
          </w:p>
        </w:tc>
        <w:tc>
          <w:tcPr>
            <w:tcW w:w="243" w:type="pct"/>
            <w:tcBorders>
              <w:top w:val="nil"/>
              <w:left w:val="nil"/>
              <w:bottom w:val="single" w:sz="4" w:space="0" w:color="auto"/>
              <w:right w:val="nil"/>
            </w:tcBorders>
            <w:shd w:val="clear" w:color="auto" w:fill="auto"/>
            <w:vAlign w:val="center"/>
            <w:hideMark/>
          </w:tcPr>
          <w:p w14:paraId="1CEEF53A"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bottom w:val="single" w:sz="4" w:space="0" w:color="auto"/>
              <w:right w:val="nil"/>
            </w:tcBorders>
            <w:shd w:val="clear" w:color="auto" w:fill="auto"/>
            <w:vAlign w:val="center"/>
            <w:hideMark/>
          </w:tcPr>
          <w:p w14:paraId="16426A92" w14:textId="77777777" w:rsidR="00282F54" w:rsidRPr="00760411" w:rsidRDefault="00282F54" w:rsidP="00282F54">
            <w:pPr>
              <w:jc w:val="right"/>
              <w:rPr>
                <w:b/>
                <w:bCs/>
                <w:color w:val="000000"/>
                <w:sz w:val="20"/>
                <w:szCs w:val="20"/>
              </w:rPr>
            </w:pPr>
            <w:r w:rsidRPr="00760411">
              <w:rPr>
                <w:b/>
                <w:bCs/>
                <w:color w:val="000000"/>
                <w:sz w:val="20"/>
                <w:szCs w:val="20"/>
              </w:rPr>
              <w:t>2021</w:t>
            </w:r>
          </w:p>
        </w:tc>
        <w:tc>
          <w:tcPr>
            <w:tcW w:w="175" w:type="pct"/>
            <w:tcBorders>
              <w:top w:val="nil"/>
              <w:left w:val="nil"/>
              <w:bottom w:val="single" w:sz="4" w:space="0" w:color="auto"/>
              <w:right w:val="nil"/>
            </w:tcBorders>
            <w:shd w:val="clear" w:color="auto" w:fill="auto"/>
            <w:vAlign w:val="center"/>
            <w:hideMark/>
          </w:tcPr>
          <w:p w14:paraId="0CFF2BDF" w14:textId="77777777" w:rsidR="00282F54" w:rsidRPr="00760411" w:rsidRDefault="00282F54" w:rsidP="00282F54">
            <w:pPr>
              <w:rPr>
                <w:b/>
                <w:bCs/>
                <w:color w:val="000000"/>
                <w:sz w:val="20"/>
                <w:szCs w:val="20"/>
              </w:rPr>
            </w:pPr>
            <w:r w:rsidRPr="00760411">
              <w:rPr>
                <w:b/>
                <w:bCs/>
                <w:color w:val="000000"/>
                <w:sz w:val="20"/>
                <w:szCs w:val="20"/>
              </w:rPr>
              <w:t> </w:t>
            </w:r>
          </w:p>
        </w:tc>
        <w:tc>
          <w:tcPr>
            <w:tcW w:w="916" w:type="pct"/>
            <w:tcBorders>
              <w:top w:val="nil"/>
              <w:left w:val="nil"/>
              <w:bottom w:val="single" w:sz="4" w:space="0" w:color="auto"/>
              <w:right w:val="nil"/>
            </w:tcBorders>
            <w:shd w:val="clear" w:color="auto" w:fill="auto"/>
            <w:vAlign w:val="center"/>
            <w:hideMark/>
          </w:tcPr>
          <w:p w14:paraId="3442D2C5" w14:textId="77777777" w:rsidR="00282F54" w:rsidRPr="00760411" w:rsidRDefault="00282F54" w:rsidP="00282F54">
            <w:pPr>
              <w:jc w:val="right"/>
              <w:rPr>
                <w:b/>
                <w:bCs/>
                <w:color w:val="000000"/>
                <w:sz w:val="20"/>
                <w:szCs w:val="20"/>
              </w:rPr>
            </w:pPr>
            <w:r w:rsidRPr="00760411">
              <w:rPr>
                <w:b/>
                <w:bCs/>
                <w:color w:val="000000"/>
                <w:sz w:val="20"/>
                <w:szCs w:val="20"/>
              </w:rPr>
              <w:t>2020</w:t>
            </w:r>
          </w:p>
        </w:tc>
      </w:tr>
      <w:tr w:rsidR="00282F54" w:rsidRPr="00760411" w14:paraId="394B5012" w14:textId="77777777" w:rsidTr="00835C5B">
        <w:trPr>
          <w:trHeight w:val="168"/>
        </w:trPr>
        <w:tc>
          <w:tcPr>
            <w:tcW w:w="2748" w:type="pct"/>
            <w:tcBorders>
              <w:top w:val="nil"/>
              <w:left w:val="nil"/>
              <w:bottom w:val="nil"/>
              <w:right w:val="nil"/>
            </w:tcBorders>
            <w:shd w:val="clear" w:color="auto" w:fill="auto"/>
            <w:vAlign w:val="center"/>
            <w:hideMark/>
          </w:tcPr>
          <w:p w14:paraId="4B8115F7" w14:textId="77777777" w:rsidR="00282F54" w:rsidRPr="00760411" w:rsidRDefault="00282F54" w:rsidP="00282F54">
            <w:pPr>
              <w:jc w:val="right"/>
              <w:rPr>
                <w:b/>
                <w:bCs/>
                <w:color w:val="000000"/>
                <w:sz w:val="20"/>
                <w:szCs w:val="20"/>
              </w:rPr>
            </w:pPr>
          </w:p>
        </w:tc>
        <w:tc>
          <w:tcPr>
            <w:tcW w:w="243" w:type="pct"/>
            <w:tcBorders>
              <w:top w:val="nil"/>
              <w:left w:val="nil"/>
              <w:bottom w:val="nil"/>
              <w:right w:val="nil"/>
            </w:tcBorders>
            <w:shd w:val="clear" w:color="auto" w:fill="auto"/>
            <w:vAlign w:val="center"/>
            <w:hideMark/>
          </w:tcPr>
          <w:p w14:paraId="323490A1"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vAlign w:val="center"/>
            <w:hideMark/>
          </w:tcPr>
          <w:p w14:paraId="259D508C"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1F27DF75"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57B441C0" w14:textId="77777777" w:rsidR="00282F54" w:rsidRPr="00760411" w:rsidRDefault="00282F54" w:rsidP="00282F54">
            <w:pPr>
              <w:rPr>
                <w:sz w:val="20"/>
                <w:szCs w:val="20"/>
              </w:rPr>
            </w:pPr>
          </w:p>
        </w:tc>
      </w:tr>
      <w:tr w:rsidR="00282F54" w:rsidRPr="00760411" w14:paraId="34ECCB4D" w14:textId="77777777" w:rsidTr="00835C5B">
        <w:trPr>
          <w:trHeight w:val="240"/>
        </w:trPr>
        <w:tc>
          <w:tcPr>
            <w:tcW w:w="2748" w:type="pct"/>
            <w:tcBorders>
              <w:top w:val="nil"/>
              <w:left w:val="nil"/>
              <w:bottom w:val="nil"/>
              <w:right w:val="nil"/>
            </w:tcBorders>
            <w:shd w:val="clear" w:color="auto" w:fill="auto"/>
            <w:vAlign w:val="center"/>
            <w:hideMark/>
          </w:tcPr>
          <w:p w14:paraId="194B9CE8" w14:textId="77777777" w:rsidR="00282F54" w:rsidRPr="00760411" w:rsidRDefault="00282F54" w:rsidP="00282F54">
            <w:pPr>
              <w:rPr>
                <w:b/>
                <w:bCs/>
                <w:color w:val="000000"/>
                <w:sz w:val="20"/>
                <w:szCs w:val="20"/>
              </w:rPr>
            </w:pPr>
            <w:r w:rsidRPr="00760411">
              <w:rPr>
                <w:b/>
                <w:bCs/>
                <w:color w:val="000000"/>
                <w:sz w:val="20"/>
                <w:szCs w:val="20"/>
              </w:rPr>
              <w:t>ASSETS</w:t>
            </w:r>
          </w:p>
        </w:tc>
        <w:tc>
          <w:tcPr>
            <w:tcW w:w="243" w:type="pct"/>
            <w:tcBorders>
              <w:top w:val="nil"/>
              <w:left w:val="nil"/>
              <w:bottom w:val="nil"/>
              <w:right w:val="nil"/>
            </w:tcBorders>
            <w:shd w:val="clear" w:color="auto" w:fill="auto"/>
            <w:vAlign w:val="center"/>
            <w:hideMark/>
          </w:tcPr>
          <w:p w14:paraId="04CF2602"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vAlign w:val="center"/>
            <w:hideMark/>
          </w:tcPr>
          <w:p w14:paraId="19F1D745"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6DDC42E9"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35FFE479" w14:textId="77777777" w:rsidR="00282F54" w:rsidRPr="00760411" w:rsidRDefault="00282F54" w:rsidP="00282F54">
            <w:pPr>
              <w:rPr>
                <w:sz w:val="20"/>
                <w:szCs w:val="20"/>
              </w:rPr>
            </w:pPr>
          </w:p>
        </w:tc>
      </w:tr>
      <w:tr w:rsidR="00282F54" w:rsidRPr="00760411" w14:paraId="6F345A1A" w14:textId="77777777" w:rsidTr="00835C5B">
        <w:trPr>
          <w:trHeight w:val="168"/>
        </w:trPr>
        <w:tc>
          <w:tcPr>
            <w:tcW w:w="2748" w:type="pct"/>
            <w:tcBorders>
              <w:top w:val="nil"/>
              <w:left w:val="nil"/>
              <w:bottom w:val="nil"/>
              <w:right w:val="nil"/>
            </w:tcBorders>
            <w:shd w:val="clear" w:color="auto" w:fill="auto"/>
            <w:vAlign w:val="center"/>
            <w:hideMark/>
          </w:tcPr>
          <w:p w14:paraId="7B401E8A" w14:textId="77777777" w:rsidR="00282F54" w:rsidRPr="00760411" w:rsidRDefault="00282F54" w:rsidP="00282F54">
            <w:pPr>
              <w:rPr>
                <w:sz w:val="20"/>
                <w:szCs w:val="20"/>
              </w:rPr>
            </w:pPr>
          </w:p>
        </w:tc>
        <w:tc>
          <w:tcPr>
            <w:tcW w:w="243" w:type="pct"/>
            <w:tcBorders>
              <w:top w:val="nil"/>
              <w:left w:val="nil"/>
              <w:bottom w:val="nil"/>
              <w:right w:val="nil"/>
            </w:tcBorders>
            <w:shd w:val="clear" w:color="auto" w:fill="auto"/>
            <w:vAlign w:val="center"/>
            <w:hideMark/>
          </w:tcPr>
          <w:p w14:paraId="65E07E9B"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vAlign w:val="center"/>
            <w:hideMark/>
          </w:tcPr>
          <w:p w14:paraId="7065DE7E"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0F156DFB"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4428E05E" w14:textId="77777777" w:rsidR="00282F54" w:rsidRPr="00760411" w:rsidRDefault="00282F54" w:rsidP="00282F54">
            <w:pPr>
              <w:rPr>
                <w:sz w:val="20"/>
                <w:szCs w:val="20"/>
              </w:rPr>
            </w:pPr>
          </w:p>
        </w:tc>
      </w:tr>
      <w:tr w:rsidR="00282F54" w:rsidRPr="00760411" w14:paraId="21EF942D" w14:textId="77777777" w:rsidTr="00835C5B">
        <w:trPr>
          <w:trHeight w:val="240"/>
        </w:trPr>
        <w:tc>
          <w:tcPr>
            <w:tcW w:w="2748" w:type="pct"/>
            <w:tcBorders>
              <w:top w:val="nil"/>
              <w:left w:val="nil"/>
              <w:bottom w:val="nil"/>
              <w:right w:val="nil"/>
            </w:tcBorders>
            <w:shd w:val="clear" w:color="auto" w:fill="auto"/>
            <w:vAlign w:val="center"/>
            <w:hideMark/>
          </w:tcPr>
          <w:p w14:paraId="46717D1F" w14:textId="77777777" w:rsidR="00282F54" w:rsidRPr="00760411" w:rsidRDefault="00282F54" w:rsidP="00282F54">
            <w:pPr>
              <w:rPr>
                <w:b/>
                <w:bCs/>
                <w:color w:val="000000"/>
                <w:sz w:val="20"/>
                <w:szCs w:val="20"/>
              </w:rPr>
            </w:pPr>
            <w:r w:rsidRPr="00760411">
              <w:rPr>
                <w:b/>
                <w:bCs/>
                <w:color w:val="000000"/>
                <w:sz w:val="20"/>
                <w:szCs w:val="20"/>
              </w:rPr>
              <w:t>Current assets</w:t>
            </w:r>
          </w:p>
        </w:tc>
        <w:tc>
          <w:tcPr>
            <w:tcW w:w="243" w:type="pct"/>
            <w:tcBorders>
              <w:top w:val="nil"/>
              <w:left w:val="nil"/>
              <w:bottom w:val="nil"/>
              <w:right w:val="nil"/>
            </w:tcBorders>
            <w:shd w:val="clear" w:color="auto" w:fill="auto"/>
            <w:vAlign w:val="center"/>
            <w:hideMark/>
          </w:tcPr>
          <w:p w14:paraId="0AD9FAD6"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67789EC9"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97063F5"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07B766CE" w14:textId="77777777" w:rsidR="00282F54" w:rsidRPr="00760411" w:rsidRDefault="00282F54" w:rsidP="00282F54">
            <w:pPr>
              <w:jc w:val="right"/>
              <w:rPr>
                <w:sz w:val="20"/>
                <w:szCs w:val="20"/>
              </w:rPr>
            </w:pPr>
          </w:p>
        </w:tc>
      </w:tr>
      <w:tr w:rsidR="00282F54" w:rsidRPr="00760411" w14:paraId="583572B4" w14:textId="77777777" w:rsidTr="00835C5B">
        <w:trPr>
          <w:trHeight w:val="240"/>
        </w:trPr>
        <w:tc>
          <w:tcPr>
            <w:tcW w:w="2748" w:type="pct"/>
            <w:tcBorders>
              <w:top w:val="nil"/>
              <w:left w:val="nil"/>
              <w:bottom w:val="nil"/>
              <w:right w:val="nil"/>
            </w:tcBorders>
            <w:shd w:val="clear" w:color="auto" w:fill="auto"/>
            <w:vAlign w:val="center"/>
            <w:hideMark/>
          </w:tcPr>
          <w:p w14:paraId="7F1443AE" w14:textId="77777777" w:rsidR="00282F54" w:rsidRPr="00760411" w:rsidRDefault="00282F54" w:rsidP="00282F54">
            <w:pPr>
              <w:ind w:firstLineChars="100" w:firstLine="200"/>
              <w:rPr>
                <w:color w:val="000000"/>
                <w:sz w:val="20"/>
                <w:szCs w:val="20"/>
              </w:rPr>
            </w:pPr>
            <w:r w:rsidRPr="00760411">
              <w:rPr>
                <w:color w:val="000000"/>
                <w:sz w:val="20"/>
                <w:szCs w:val="20"/>
              </w:rPr>
              <w:t>Cash</w:t>
            </w:r>
          </w:p>
        </w:tc>
        <w:tc>
          <w:tcPr>
            <w:tcW w:w="243" w:type="pct"/>
            <w:tcBorders>
              <w:top w:val="nil"/>
              <w:left w:val="nil"/>
              <w:bottom w:val="nil"/>
              <w:right w:val="nil"/>
            </w:tcBorders>
            <w:shd w:val="clear" w:color="auto" w:fill="auto"/>
            <w:noWrap/>
            <w:vAlign w:val="center"/>
            <w:hideMark/>
          </w:tcPr>
          <w:p w14:paraId="47757966" w14:textId="77777777" w:rsidR="00282F54" w:rsidRPr="00760411" w:rsidRDefault="00282F54" w:rsidP="00282F54">
            <w:pPr>
              <w:jc w:val="right"/>
              <w:rPr>
                <w:color w:val="000000"/>
                <w:sz w:val="20"/>
                <w:szCs w:val="20"/>
              </w:rPr>
            </w:pPr>
            <w:r w:rsidRPr="00760411">
              <w:rPr>
                <w:color w:val="000000"/>
                <w:sz w:val="20"/>
                <w:szCs w:val="20"/>
              </w:rPr>
              <w:t>$</w:t>
            </w:r>
          </w:p>
        </w:tc>
        <w:tc>
          <w:tcPr>
            <w:tcW w:w="917" w:type="pct"/>
            <w:tcBorders>
              <w:top w:val="nil"/>
              <w:left w:val="nil"/>
              <w:bottom w:val="nil"/>
              <w:right w:val="nil"/>
            </w:tcBorders>
            <w:shd w:val="clear" w:color="auto" w:fill="auto"/>
            <w:noWrap/>
            <w:vAlign w:val="center"/>
            <w:hideMark/>
          </w:tcPr>
          <w:p w14:paraId="00BF1C65" w14:textId="49BECAA4" w:rsidR="00282F54" w:rsidRPr="00760411" w:rsidRDefault="003C7461" w:rsidP="00282F54">
            <w:pPr>
              <w:jc w:val="right"/>
              <w:rPr>
                <w:color w:val="000000"/>
                <w:sz w:val="20"/>
                <w:szCs w:val="20"/>
              </w:rPr>
            </w:pPr>
            <w:r w:rsidRPr="00760411">
              <w:rPr>
                <w:color w:val="000000"/>
                <w:sz w:val="20"/>
                <w:szCs w:val="20"/>
              </w:rPr>
              <w:t>525,851</w:t>
            </w:r>
          </w:p>
        </w:tc>
        <w:tc>
          <w:tcPr>
            <w:tcW w:w="175" w:type="pct"/>
            <w:tcBorders>
              <w:top w:val="nil"/>
              <w:left w:val="nil"/>
              <w:bottom w:val="nil"/>
              <w:right w:val="nil"/>
            </w:tcBorders>
            <w:shd w:val="clear" w:color="auto" w:fill="auto"/>
            <w:noWrap/>
            <w:vAlign w:val="center"/>
            <w:hideMark/>
          </w:tcPr>
          <w:p w14:paraId="3EB0F61B" w14:textId="77777777" w:rsidR="00282F54" w:rsidRPr="00760411" w:rsidRDefault="00282F54" w:rsidP="00282F54">
            <w:pPr>
              <w:jc w:val="right"/>
              <w:rPr>
                <w:color w:val="000000"/>
                <w:sz w:val="20"/>
                <w:szCs w:val="20"/>
              </w:rPr>
            </w:pPr>
            <w:r w:rsidRPr="00760411">
              <w:rPr>
                <w:color w:val="000000"/>
                <w:sz w:val="20"/>
                <w:szCs w:val="20"/>
              </w:rPr>
              <w:t>$</w:t>
            </w:r>
          </w:p>
        </w:tc>
        <w:tc>
          <w:tcPr>
            <w:tcW w:w="916" w:type="pct"/>
            <w:tcBorders>
              <w:top w:val="nil"/>
              <w:left w:val="nil"/>
              <w:bottom w:val="nil"/>
              <w:right w:val="nil"/>
            </w:tcBorders>
            <w:shd w:val="clear" w:color="auto" w:fill="auto"/>
            <w:noWrap/>
            <w:vAlign w:val="center"/>
            <w:hideMark/>
          </w:tcPr>
          <w:p w14:paraId="25DE321E" w14:textId="77777777" w:rsidR="00282F54" w:rsidRPr="00760411" w:rsidRDefault="00282F54" w:rsidP="00282F54">
            <w:pPr>
              <w:jc w:val="right"/>
              <w:rPr>
                <w:color w:val="000000"/>
                <w:sz w:val="20"/>
                <w:szCs w:val="20"/>
              </w:rPr>
            </w:pPr>
            <w:r w:rsidRPr="00760411">
              <w:rPr>
                <w:color w:val="000000"/>
                <w:sz w:val="20"/>
                <w:szCs w:val="20"/>
              </w:rPr>
              <w:t>1,326,253</w:t>
            </w:r>
          </w:p>
        </w:tc>
      </w:tr>
      <w:tr w:rsidR="00282F54" w:rsidRPr="00760411" w14:paraId="681EBBA6" w14:textId="77777777" w:rsidTr="00835C5B">
        <w:trPr>
          <w:trHeight w:val="240"/>
        </w:trPr>
        <w:tc>
          <w:tcPr>
            <w:tcW w:w="2748" w:type="pct"/>
            <w:tcBorders>
              <w:top w:val="nil"/>
              <w:left w:val="nil"/>
              <w:bottom w:val="nil"/>
              <w:right w:val="nil"/>
            </w:tcBorders>
            <w:shd w:val="clear" w:color="auto" w:fill="auto"/>
            <w:vAlign w:val="center"/>
            <w:hideMark/>
          </w:tcPr>
          <w:p w14:paraId="157E3A03" w14:textId="77777777" w:rsidR="00282F54" w:rsidRPr="00760411" w:rsidRDefault="00282F54" w:rsidP="00282F54">
            <w:pPr>
              <w:ind w:firstLineChars="100" w:firstLine="200"/>
              <w:rPr>
                <w:color w:val="000000"/>
                <w:sz w:val="20"/>
                <w:szCs w:val="20"/>
              </w:rPr>
            </w:pPr>
            <w:r w:rsidRPr="00760411">
              <w:rPr>
                <w:color w:val="000000"/>
                <w:sz w:val="20"/>
                <w:szCs w:val="20"/>
              </w:rPr>
              <w:t>Accounts receivable</w:t>
            </w:r>
          </w:p>
        </w:tc>
        <w:tc>
          <w:tcPr>
            <w:tcW w:w="243" w:type="pct"/>
            <w:tcBorders>
              <w:top w:val="nil"/>
              <w:left w:val="nil"/>
              <w:bottom w:val="nil"/>
              <w:right w:val="nil"/>
            </w:tcBorders>
            <w:shd w:val="clear" w:color="auto" w:fill="auto"/>
            <w:vAlign w:val="center"/>
            <w:hideMark/>
          </w:tcPr>
          <w:p w14:paraId="268437AB"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395865E6" w14:textId="5BDDADC4" w:rsidR="00282F54" w:rsidRPr="00760411" w:rsidRDefault="003C7461" w:rsidP="00282F54">
            <w:pPr>
              <w:jc w:val="right"/>
              <w:rPr>
                <w:color w:val="000000"/>
                <w:sz w:val="20"/>
                <w:szCs w:val="20"/>
              </w:rPr>
            </w:pPr>
            <w:r w:rsidRPr="00760411">
              <w:rPr>
                <w:color w:val="000000"/>
                <w:sz w:val="20"/>
                <w:szCs w:val="20"/>
              </w:rPr>
              <w:t>52,629</w:t>
            </w:r>
          </w:p>
        </w:tc>
        <w:tc>
          <w:tcPr>
            <w:tcW w:w="175" w:type="pct"/>
            <w:tcBorders>
              <w:top w:val="nil"/>
              <w:left w:val="nil"/>
              <w:bottom w:val="nil"/>
              <w:right w:val="nil"/>
            </w:tcBorders>
            <w:shd w:val="clear" w:color="auto" w:fill="auto"/>
            <w:noWrap/>
            <w:vAlign w:val="center"/>
            <w:hideMark/>
          </w:tcPr>
          <w:p w14:paraId="0F4A0D09"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26E2DC00" w14:textId="77777777" w:rsidR="00282F54" w:rsidRPr="00760411" w:rsidRDefault="00282F54" w:rsidP="00282F54">
            <w:pPr>
              <w:jc w:val="right"/>
              <w:rPr>
                <w:color w:val="000000"/>
                <w:sz w:val="20"/>
                <w:szCs w:val="20"/>
              </w:rPr>
            </w:pPr>
            <w:r w:rsidRPr="00760411">
              <w:rPr>
                <w:color w:val="000000"/>
                <w:sz w:val="20"/>
                <w:szCs w:val="20"/>
              </w:rPr>
              <w:t>571</w:t>
            </w:r>
          </w:p>
        </w:tc>
      </w:tr>
      <w:tr w:rsidR="00282F54" w:rsidRPr="00760411" w14:paraId="148C4571" w14:textId="77777777" w:rsidTr="00835C5B">
        <w:trPr>
          <w:trHeight w:val="240"/>
        </w:trPr>
        <w:tc>
          <w:tcPr>
            <w:tcW w:w="2748" w:type="pct"/>
            <w:tcBorders>
              <w:top w:val="nil"/>
              <w:left w:val="nil"/>
              <w:bottom w:val="nil"/>
              <w:right w:val="nil"/>
            </w:tcBorders>
            <w:shd w:val="clear" w:color="auto" w:fill="auto"/>
            <w:vAlign w:val="center"/>
            <w:hideMark/>
          </w:tcPr>
          <w:p w14:paraId="7E11AC5D" w14:textId="2AA172CF" w:rsidR="00282F54" w:rsidRPr="00760411" w:rsidRDefault="00282F54" w:rsidP="00282F54">
            <w:pPr>
              <w:ind w:firstLineChars="100" w:firstLine="200"/>
              <w:rPr>
                <w:color w:val="000000"/>
                <w:sz w:val="20"/>
                <w:szCs w:val="20"/>
              </w:rPr>
            </w:pPr>
            <w:r w:rsidRPr="00760411">
              <w:rPr>
                <w:color w:val="000000"/>
                <w:sz w:val="20"/>
                <w:szCs w:val="20"/>
              </w:rPr>
              <w:t xml:space="preserve">Interest receivable (Note </w:t>
            </w:r>
            <w:r w:rsidR="00822DB4" w:rsidRPr="00760411">
              <w:rPr>
                <w:color w:val="000000"/>
                <w:sz w:val="20"/>
                <w:szCs w:val="20"/>
              </w:rPr>
              <w:t>7</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070E5C8E"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4D01754C" w14:textId="431F9336" w:rsidR="00282F54" w:rsidRPr="00760411" w:rsidRDefault="00282F54" w:rsidP="00282F54">
            <w:pPr>
              <w:jc w:val="right"/>
              <w:rPr>
                <w:color w:val="000000"/>
                <w:sz w:val="20"/>
                <w:szCs w:val="20"/>
              </w:rPr>
            </w:pPr>
            <w:r w:rsidRPr="00760411">
              <w:rPr>
                <w:color w:val="000000"/>
                <w:sz w:val="20"/>
                <w:szCs w:val="20"/>
              </w:rPr>
              <w:t>4</w:t>
            </w:r>
            <w:r w:rsidR="003C7461" w:rsidRPr="00760411">
              <w:rPr>
                <w:color w:val="000000"/>
                <w:sz w:val="20"/>
                <w:szCs w:val="20"/>
              </w:rPr>
              <w:t>9,075</w:t>
            </w:r>
          </w:p>
        </w:tc>
        <w:tc>
          <w:tcPr>
            <w:tcW w:w="175" w:type="pct"/>
            <w:tcBorders>
              <w:top w:val="nil"/>
              <w:left w:val="nil"/>
              <w:bottom w:val="nil"/>
              <w:right w:val="nil"/>
            </w:tcBorders>
            <w:shd w:val="clear" w:color="auto" w:fill="auto"/>
            <w:noWrap/>
            <w:vAlign w:val="center"/>
            <w:hideMark/>
          </w:tcPr>
          <w:p w14:paraId="4BFDC9E9"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6237DFA9" w14:textId="77777777" w:rsidR="00282F54" w:rsidRPr="00760411" w:rsidRDefault="00282F54" w:rsidP="00282F54">
            <w:pPr>
              <w:jc w:val="right"/>
              <w:rPr>
                <w:color w:val="000000"/>
                <w:sz w:val="20"/>
                <w:szCs w:val="20"/>
              </w:rPr>
            </w:pPr>
            <w:r w:rsidRPr="00760411">
              <w:rPr>
                <w:color w:val="000000"/>
                <w:sz w:val="20"/>
                <w:szCs w:val="20"/>
              </w:rPr>
              <w:t>36,034</w:t>
            </w:r>
          </w:p>
        </w:tc>
      </w:tr>
      <w:tr w:rsidR="00282F54" w:rsidRPr="00760411" w14:paraId="03D6A990" w14:textId="77777777" w:rsidTr="00835C5B">
        <w:trPr>
          <w:trHeight w:val="240"/>
        </w:trPr>
        <w:tc>
          <w:tcPr>
            <w:tcW w:w="2748" w:type="pct"/>
            <w:tcBorders>
              <w:top w:val="nil"/>
              <w:left w:val="nil"/>
              <w:right w:val="nil"/>
            </w:tcBorders>
            <w:shd w:val="clear" w:color="auto" w:fill="auto"/>
            <w:vAlign w:val="center"/>
            <w:hideMark/>
          </w:tcPr>
          <w:p w14:paraId="6450BADE" w14:textId="32C3104D" w:rsidR="00282F54" w:rsidRPr="00760411" w:rsidRDefault="00282F54" w:rsidP="00282F54">
            <w:pPr>
              <w:ind w:firstLineChars="100" w:firstLine="200"/>
              <w:rPr>
                <w:color w:val="000000"/>
                <w:sz w:val="20"/>
                <w:szCs w:val="20"/>
              </w:rPr>
            </w:pPr>
            <w:r w:rsidRPr="00760411">
              <w:rPr>
                <w:color w:val="000000"/>
                <w:sz w:val="20"/>
                <w:szCs w:val="20"/>
              </w:rPr>
              <w:t xml:space="preserve">Loans receivable – current (Note </w:t>
            </w:r>
            <w:r w:rsidR="00822DB4" w:rsidRPr="00760411">
              <w:rPr>
                <w:color w:val="000000"/>
                <w:sz w:val="20"/>
                <w:szCs w:val="20"/>
              </w:rPr>
              <w:t>7</w:t>
            </w:r>
            <w:r w:rsidRPr="00760411">
              <w:rPr>
                <w:color w:val="000000"/>
                <w:sz w:val="20"/>
                <w:szCs w:val="20"/>
              </w:rPr>
              <w:t>)</w:t>
            </w:r>
          </w:p>
        </w:tc>
        <w:tc>
          <w:tcPr>
            <w:tcW w:w="243" w:type="pct"/>
            <w:tcBorders>
              <w:top w:val="nil"/>
              <w:left w:val="nil"/>
              <w:right w:val="nil"/>
            </w:tcBorders>
            <w:shd w:val="clear" w:color="auto" w:fill="auto"/>
            <w:vAlign w:val="center"/>
            <w:hideMark/>
          </w:tcPr>
          <w:p w14:paraId="081DC70B" w14:textId="77777777" w:rsidR="00282F54" w:rsidRPr="00760411" w:rsidRDefault="00282F54" w:rsidP="00282F54">
            <w:pPr>
              <w:ind w:firstLineChars="100" w:firstLine="200"/>
              <w:rPr>
                <w:color w:val="000000"/>
                <w:sz w:val="20"/>
                <w:szCs w:val="20"/>
              </w:rPr>
            </w:pPr>
          </w:p>
        </w:tc>
        <w:tc>
          <w:tcPr>
            <w:tcW w:w="917" w:type="pct"/>
            <w:tcBorders>
              <w:top w:val="nil"/>
              <w:left w:val="nil"/>
              <w:right w:val="nil"/>
            </w:tcBorders>
            <w:shd w:val="clear" w:color="auto" w:fill="auto"/>
            <w:noWrap/>
            <w:vAlign w:val="center"/>
            <w:hideMark/>
          </w:tcPr>
          <w:p w14:paraId="7969B627" w14:textId="0FC31D9D" w:rsidR="00282F54" w:rsidRPr="00760411" w:rsidRDefault="003C7461" w:rsidP="00282F54">
            <w:pPr>
              <w:jc w:val="right"/>
              <w:rPr>
                <w:color w:val="000000"/>
                <w:sz w:val="20"/>
                <w:szCs w:val="20"/>
              </w:rPr>
            </w:pPr>
            <w:r w:rsidRPr="00760411">
              <w:rPr>
                <w:color w:val="000000"/>
                <w:sz w:val="20"/>
                <w:szCs w:val="20"/>
              </w:rPr>
              <w:t>554,522</w:t>
            </w:r>
          </w:p>
        </w:tc>
        <w:tc>
          <w:tcPr>
            <w:tcW w:w="175" w:type="pct"/>
            <w:tcBorders>
              <w:top w:val="nil"/>
              <w:left w:val="nil"/>
              <w:right w:val="nil"/>
            </w:tcBorders>
            <w:shd w:val="clear" w:color="auto" w:fill="auto"/>
            <w:noWrap/>
            <w:vAlign w:val="center"/>
            <w:hideMark/>
          </w:tcPr>
          <w:p w14:paraId="677DE91B" w14:textId="77777777" w:rsidR="00282F54" w:rsidRPr="00760411" w:rsidRDefault="00282F54" w:rsidP="00282F54">
            <w:pPr>
              <w:jc w:val="right"/>
              <w:rPr>
                <w:color w:val="000000"/>
                <w:sz w:val="20"/>
                <w:szCs w:val="20"/>
              </w:rPr>
            </w:pPr>
          </w:p>
        </w:tc>
        <w:tc>
          <w:tcPr>
            <w:tcW w:w="916" w:type="pct"/>
            <w:tcBorders>
              <w:top w:val="nil"/>
              <w:left w:val="nil"/>
              <w:right w:val="nil"/>
            </w:tcBorders>
            <w:shd w:val="clear" w:color="auto" w:fill="auto"/>
            <w:noWrap/>
            <w:vAlign w:val="center"/>
            <w:hideMark/>
          </w:tcPr>
          <w:p w14:paraId="6464A339" w14:textId="77777777" w:rsidR="00282F54" w:rsidRPr="00760411" w:rsidRDefault="00282F54" w:rsidP="00282F54">
            <w:pPr>
              <w:jc w:val="right"/>
              <w:rPr>
                <w:color w:val="000000"/>
                <w:sz w:val="20"/>
                <w:szCs w:val="20"/>
              </w:rPr>
            </w:pPr>
            <w:r w:rsidRPr="00760411">
              <w:rPr>
                <w:color w:val="000000"/>
                <w:sz w:val="20"/>
                <w:szCs w:val="20"/>
              </w:rPr>
              <w:t>794,643</w:t>
            </w:r>
          </w:p>
        </w:tc>
      </w:tr>
      <w:tr w:rsidR="00282F54" w:rsidRPr="00760411" w14:paraId="320E55CD" w14:textId="77777777" w:rsidTr="00835C5B">
        <w:trPr>
          <w:trHeight w:val="240"/>
        </w:trPr>
        <w:tc>
          <w:tcPr>
            <w:tcW w:w="2748" w:type="pct"/>
            <w:tcBorders>
              <w:top w:val="nil"/>
              <w:left w:val="nil"/>
              <w:right w:val="nil"/>
            </w:tcBorders>
            <w:shd w:val="clear" w:color="auto" w:fill="auto"/>
            <w:vAlign w:val="center"/>
            <w:hideMark/>
          </w:tcPr>
          <w:p w14:paraId="5D33A359" w14:textId="77777777" w:rsidR="00282F54" w:rsidRPr="00760411" w:rsidRDefault="00282F54" w:rsidP="00282F54">
            <w:pPr>
              <w:ind w:firstLineChars="100" w:firstLine="200"/>
              <w:rPr>
                <w:color w:val="000000"/>
                <w:sz w:val="20"/>
                <w:szCs w:val="20"/>
              </w:rPr>
            </w:pPr>
            <w:r w:rsidRPr="00760411">
              <w:rPr>
                <w:color w:val="000000"/>
                <w:sz w:val="20"/>
                <w:szCs w:val="20"/>
              </w:rPr>
              <w:t>Prepaid expenses</w:t>
            </w:r>
          </w:p>
        </w:tc>
        <w:tc>
          <w:tcPr>
            <w:tcW w:w="243" w:type="pct"/>
            <w:tcBorders>
              <w:top w:val="nil"/>
              <w:left w:val="nil"/>
              <w:right w:val="nil"/>
            </w:tcBorders>
            <w:shd w:val="clear" w:color="auto" w:fill="auto"/>
            <w:vAlign w:val="center"/>
            <w:hideMark/>
          </w:tcPr>
          <w:p w14:paraId="210E635A" w14:textId="77777777" w:rsidR="00282F54" w:rsidRPr="00760411" w:rsidRDefault="00282F54" w:rsidP="00282F54">
            <w:pPr>
              <w:ind w:firstLineChars="100" w:firstLine="200"/>
              <w:rPr>
                <w:color w:val="000000"/>
                <w:sz w:val="20"/>
                <w:szCs w:val="20"/>
              </w:rPr>
            </w:pPr>
            <w:r w:rsidRPr="00760411">
              <w:rPr>
                <w:color w:val="000000"/>
                <w:sz w:val="20"/>
                <w:szCs w:val="20"/>
              </w:rPr>
              <w:t> </w:t>
            </w:r>
          </w:p>
        </w:tc>
        <w:tc>
          <w:tcPr>
            <w:tcW w:w="917" w:type="pct"/>
            <w:tcBorders>
              <w:top w:val="nil"/>
              <w:left w:val="nil"/>
              <w:right w:val="nil"/>
            </w:tcBorders>
            <w:shd w:val="clear" w:color="auto" w:fill="auto"/>
            <w:noWrap/>
            <w:vAlign w:val="center"/>
            <w:hideMark/>
          </w:tcPr>
          <w:p w14:paraId="40063B41" w14:textId="42B1D22C" w:rsidR="00282F54" w:rsidRPr="00760411" w:rsidRDefault="003C7461" w:rsidP="00282F54">
            <w:pPr>
              <w:jc w:val="right"/>
              <w:rPr>
                <w:color w:val="000000"/>
                <w:sz w:val="20"/>
                <w:szCs w:val="20"/>
              </w:rPr>
            </w:pPr>
            <w:r w:rsidRPr="00760411">
              <w:rPr>
                <w:color w:val="000000"/>
                <w:sz w:val="20"/>
                <w:szCs w:val="20"/>
              </w:rPr>
              <w:t>66,875</w:t>
            </w:r>
          </w:p>
        </w:tc>
        <w:tc>
          <w:tcPr>
            <w:tcW w:w="175" w:type="pct"/>
            <w:tcBorders>
              <w:top w:val="nil"/>
              <w:left w:val="nil"/>
              <w:right w:val="nil"/>
            </w:tcBorders>
            <w:shd w:val="clear" w:color="auto" w:fill="auto"/>
            <w:noWrap/>
            <w:vAlign w:val="center"/>
            <w:hideMark/>
          </w:tcPr>
          <w:p w14:paraId="4A1BF1FF"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right w:val="nil"/>
            </w:tcBorders>
            <w:shd w:val="clear" w:color="auto" w:fill="auto"/>
            <w:noWrap/>
            <w:vAlign w:val="center"/>
            <w:hideMark/>
          </w:tcPr>
          <w:p w14:paraId="2D1FA51F" w14:textId="77777777" w:rsidR="00282F54" w:rsidRPr="00760411" w:rsidRDefault="00282F54" w:rsidP="00282F54">
            <w:pPr>
              <w:jc w:val="right"/>
              <w:rPr>
                <w:color w:val="000000"/>
                <w:sz w:val="20"/>
                <w:szCs w:val="20"/>
              </w:rPr>
            </w:pPr>
            <w:r w:rsidRPr="00760411">
              <w:rPr>
                <w:color w:val="000000"/>
                <w:sz w:val="20"/>
                <w:szCs w:val="20"/>
              </w:rPr>
              <w:t>69,833</w:t>
            </w:r>
          </w:p>
        </w:tc>
      </w:tr>
      <w:tr w:rsidR="003C7461" w:rsidRPr="00760411" w14:paraId="7E5A95F1" w14:textId="77777777" w:rsidTr="00835C5B">
        <w:trPr>
          <w:trHeight w:val="240"/>
        </w:trPr>
        <w:tc>
          <w:tcPr>
            <w:tcW w:w="2748" w:type="pct"/>
            <w:tcBorders>
              <w:left w:val="nil"/>
              <w:bottom w:val="single" w:sz="4" w:space="0" w:color="auto"/>
              <w:right w:val="nil"/>
            </w:tcBorders>
            <w:shd w:val="clear" w:color="auto" w:fill="auto"/>
            <w:vAlign w:val="center"/>
          </w:tcPr>
          <w:p w14:paraId="0B585F64" w14:textId="1B288A8F" w:rsidR="003C7461" w:rsidRPr="00760411" w:rsidRDefault="003C7461" w:rsidP="00282F54">
            <w:pPr>
              <w:ind w:firstLineChars="100" w:firstLine="200"/>
              <w:rPr>
                <w:color w:val="000000"/>
                <w:sz w:val="20"/>
                <w:szCs w:val="20"/>
              </w:rPr>
            </w:pPr>
            <w:r w:rsidRPr="00760411">
              <w:rPr>
                <w:color w:val="000000"/>
                <w:sz w:val="20"/>
                <w:szCs w:val="20"/>
              </w:rPr>
              <w:t>Investment in sublease (Note 13)</w:t>
            </w:r>
          </w:p>
        </w:tc>
        <w:tc>
          <w:tcPr>
            <w:tcW w:w="243" w:type="pct"/>
            <w:tcBorders>
              <w:left w:val="nil"/>
              <w:bottom w:val="single" w:sz="4" w:space="0" w:color="auto"/>
              <w:right w:val="nil"/>
            </w:tcBorders>
            <w:shd w:val="clear" w:color="auto" w:fill="auto"/>
            <w:vAlign w:val="center"/>
          </w:tcPr>
          <w:p w14:paraId="5850270A" w14:textId="77777777" w:rsidR="003C7461" w:rsidRPr="00760411" w:rsidRDefault="003C7461" w:rsidP="00282F54">
            <w:pPr>
              <w:ind w:firstLineChars="100" w:firstLine="200"/>
              <w:rPr>
                <w:color w:val="000000"/>
                <w:sz w:val="20"/>
                <w:szCs w:val="20"/>
              </w:rPr>
            </w:pPr>
          </w:p>
        </w:tc>
        <w:tc>
          <w:tcPr>
            <w:tcW w:w="917" w:type="pct"/>
            <w:tcBorders>
              <w:left w:val="nil"/>
              <w:bottom w:val="single" w:sz="4" w:space="0" w:color="auto"/>
              <w:right w:val="nil"/>
            </w:tcBorders>
            <w:shd w:val="clear" w:color="auto" w:fill="auto"/>
            <w:noWrap/>
            <w:vAlign w:val="center"/>
          </w:tcPr>
          <w:p w14:paraId="15F68ED1" w14:textId="3F7E8967" w:rsidR="003C7461" w:rsidRPr="00760411" w:rsidRDefault="003C7461" w:rsidP="00282F54">
            <w:pPr>
              <w:jc w:val="right"/>
              <w:rPr>
                <w:color w:val="000000"/>
                <w:sz w:val="20"/>
                <w:szCs w:val="20"/>
              </w:rPr>
            </w:pPr>
            <w:r w:rsidRPr="00760411">
              <w:rPr>
                <w:color w:val="000000"/>
                <w:sz w:val="20"/>
                <w:szCs w:val="20"/>
              </w:rPr>
              <w:t>180,186</w:t>
            </w:r>
          </w:p>
        </w:tc>
        <w:tc>
          <w:tcPr>
            <w:tcW w:w="175" w:type="pct"/>
            <w:tcBorders>
              <w:left w:val="nil"/>
              <w:bottom w:val="single" w:sz="4" w:space="0" w:color="auto"/>
              <w:right w:val="nil"/>
            </w:tcBorders>
            <w:shd w:val="clear" w:color="auto" w:fill="auto"/>
            <w:noWrap/>
            <w:vAlign w:val="center"/>
          </w:tcPr>
          <w:p w14:paraId="2ED195C9" w14:textId="77777777" w:rsidR="003C7461" w:rsidRPr="00760411" w:rsidRDefault="003C7461" w:rsidP="00282F54">
            <w:pPr>
              <w:jc w:val="right"/>
              <w:rPr>
                <w:color w:val="000000"/>
                <w:sz w:val="20"/>
                <w:szCs w:val="20"/>
              </w:rPr>
            </w:pPr>
          </w:p>
        </w:tc>
        <w:tc>
          <w:tcPr>
            <w:tcW w:w="916" w:type="pct"/>
            <w:tcBorders>
              <w:left w:val="nil"/>
              <w:bottom w:val="single" w:sz="4" w:space="0" w:color="auto"/>
              <w:right w:val="nil"/>
            </w:tcBorders>
            <w:shd w:val="clear" w:color="auto" w:fill="auto"/>
            <w:noWrap/>
            <w:vAlign w:val="center"/>
          </w:tcPr>
          <w:p w14:paraId="396BF9CA" w14:textId="30E0D78C" w:rsidR="003C7461" w:rsidRPr="00760411" w:rsidRDefault="003C7461" w:rsidP="00282F54">
            <w:pPr>
              <w:jc w:val="right"/>
              <w:rPr>
                <w:color w:val="000000"/>
                <w:sz w:val="20"/>
                <w:szCs w:val="20"/>
              </w:rPr>
            </w:pPr>
            <w:r w:rsidRPr="00760411">
              <w:rPr>
                <w:color w:val="000000"/>
                <w:sz w:val="20"/>
                <w:szCs w:val="20"/>
              </w:rPr>
              <w:t>-</w:t>
            </w:r>
          </w:p>
        </w:tc>
      </w:tr>
      <w:tr w:rsidR="00282F54" w:rsidRPr="00760411" w14:paraId="04F844FB" w14:textId="77777777" w:rsidTr="00835C5B">
        <w:trPr>
          <w:trHeight w:val="240"/>
        </w:trPr>
        <w:tc>
          <w:tcPr>
            <w:tcW w:w="2748" w:type="pct"/>
            <w:tcBorders>
              <w:top w:val="nil"/>
              <w:left w:val="nil"/>
              <w:bottom w:val="nil"/>
              <w:right w:val="nil"/>
            </w:tcBorders>
            <w:shd w:val="clear" w:color="auto" w:fill="auto"/>
            <w:vAlign w:val="center"/>
            <w:hideMark/>
          </w:tcPr>
          <w:p w14:paraId="6AFE7482" w14:textId="77777777" w:rsidR="00282F54" w:rsidRPr="00760411" w:rsidRDefault="00282F54" w:rsidP="00282F54">
            <w:pPr>
              <w:jc w:val="right"/>
              <w:rPr>
                <w:color w:val="000000"/>
                <w:sz w:val="20"/>
                <w:szCs w:val="20"/>
                <w:highlight w:val="yellow"/>
              </w:rPr>
            </w:pPr>
          </w:p>
        </w:tc>
        <w:tc>
          <w:tcPr>
            <w:tcW w:w="243" w:type="pct"/>
            <w:tcBorders>
              <w:top w:val="nil"/>
              <w:left w:val="nil"/>
              <w:bottom w:val="nil"/>
              <w:right w:val="nil"/>
            </w:tcBorders>
            <w:shd w:val="clear" w:color="auto" w:fill="auto"/>
            <w:vAlign w:val="center"/>
            <w:hideMark/>
          </w:tcPr>
          <w:p w14:paraId="3EC893AA"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2FD5C517" w14:textId="62601064" w:rsidR="00282F54" w:rsidRPr="00760411" w:rsidRDefault="003C7461" w:rsidP="00282F54">
            <w:pPr>
              <w:jc w:val="right"/>
              <w:rPr>
                <w:color w:val="000000"/>
                <w:sz w:val="20"/>
                <w:szCs w:val="20"/>
              </w:rPr>
            </w:pPr>
            <w:r w:rsidRPr="00760411">
              <w:rPr>
                <w:color w:val="000000"/>
                <w:sz w:val="20"/>
                <w:szCs w:val="20"/>
              </w:rPr>
              <w:t>1,</w:t>
            </w:r>
            <w:r w:rsidR="007D162B">
              <w:rPr>
                <w:color w:val="000000"/>
                <w:sz w:val="20"/>
                <w:szCs w:val="20"/>
              </w:rPr>
              <w:t>4</w:t>
            </w:r>
            <w:r w:rsidR="00312FB5" w:rsidRPr="00760411">
              <w:rPr>
                <w:color w:val="000000"/>
                <w:sz w:val="20"/>
                <w:szCs w:val="20"/>
              </w:rPr>
              <w:t>29,138</w:t>
            </w:r>
          </w:p>
        </w:tc>
        <w:tc>
          <w:tcPr>
            <w:tcW w:w="175" w:type="pct"/>
            <w:tcBorders>
              <w:top w:val="nil"/>
              <w:left w:val="nil"/>
              <w:bottom w:val="nil"/>
              <w:right w:val="nil"/>
            </w:tcBorders>
            <w:shd w:val="clear" w:color="auto" w:fill="auto"/>
            <w:noWrap/>
            <w:vAlign w:val="center"/>
            <w:hideMark/>
          </w:tcPr>
          <w:p w14:paraId="36F6BF26"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330FECB2" w14:textId="77777777" w:rsidR="00282F54" w:rsidRPr="00760411" w:rsidRDefault="00282F54" w:rsidP="00282F54">
            <w:pPr>
              <w:jc w:val="right"/>
              <w:rPr>
                <w:color w:val="000000"/>
                <w:sz w:val="20"/>
                <w:szCs w:val="20"/>
              </w:rPr>
            </w:pPr>
            <w:r w:rsidRPr="00760411">
              <w:rPr>
                <w:color w:val="000000"/>
                <w:sz w:val="20"/>
                <w:szCs w:val="20"/>
              </w:rPr>
              <w:t>2,227,334</w:t>
            </w:r>
          </w:p>
        </w:tc>
      </w:tr>
      <w:tr w:rsidR="00282F54" w:rsidRPr="00760411" w14:paraId="14CC1BF1" w14:textId="77777777" w:rsidTr="00835C5B">
        <w:trPr>
          <w:trHeight w:val="66"/>
        </w:trPr>
        <w:tc>
          <w:tcPr>
            <w:tcW w:w="2748" w:type="pct"/>
            <w:tcBorders>
              <w:top w:val="nil"/>
              <w:left w:val="nil"/>
              <w:bottom w:val="nil"/>
              <w:right w:val="nil"/>
            </w:tcBorders>
            <w:shd w:val="clear" w:color="auto" w:fill="auto"/>
            <w:vAlign w:val="center"/>
            <w:hideMark/>
          </w:tcPr>
          <w:p w14:paraId="437AFC44" w14:textId="77777777" w:rsidR="00282F54" w:rsidRPr="00760411" w:rsidRDefault="00282F54" w:rsidP="00282F54">
            <w:pPr>
              <w:jc w:val="right"/>
              <w:rPr>
                <w:color w:val="000000"/>
                <w:sz w:val="20"/>
                <w:szCs w:val="20"/>
                <w:highlight w:val="yellow"/>
              </w:rPr>
            </w:pPr>
          </w:p>
        </w:tc>
        <w:tc>
          <w:tcPr>
            <w:tcW w:w="243" w:type="pct"/>
            <w:tcBorders>
              <w:top w:val="nil"/>
              <w:left w:val="nil"/>
              <w:bottom w:val="nil"/>
              <w:right w:val="nil"/>
            </w:tcBorders>
            <w:shd w:val="clear" w:color="auto" w:fill="auto"/>
            <w:vAlign w:val="center"/>
            <w:hideMark/>
          </w:tcPr>
          <w:p w14:paraId="602CA78D"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2C24A6D0"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5204432"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11E4E259" w14:textId="77777777" w:rsidR="00282F54" w:rsidRPr="00760411" w:rsidRDefault="00282F54" w:rsidP="00282F54">
            <w:pPr>
              <w:jc w:val="right"/>
              <w:rPr>
                <w:sz w:val="20"/>
                <w:szCs w:val="20"/>
              </w:rPr>
            </w:pPr>
          </w:p>
        </w:tc>
      </w:tr>
      <w:tr w:rsidR="00282F54" w:rsidRPr="00760411" w14:paraId="23E2E73F" w14:textId="77777777" w:rsidTr="00835C5B">
        <w:trPr>
          <w:trHeight w:val="240"/>
        </w:trPr>
        <w:tc>
          <w:tcPr>
            <w:tcW w:w="2748" w:type="pct"/>
            <w:tcBorders>
              <w:top w:val="nil"/>
              <w:left w:val="nil"/>
              <w:bottom w:val="nil"/>
              <w:right w:val="nil"/>
            </w:tcBorders>
            <w:shd w:val="clear" w:color="auto" w:fill="auto"/>
            <w:vAlign w:val="center"/>
            <w:hideMark/>
          </w:tcPr>
          <w:p w14:paraId="7558BB73" w14:textId="5D47800A" w:rsidR="00282F54" w:rsidRPr="00760411" w:rsidRDefault="00282F54" w:rsidP="00282F54">
            <w:pPr>
              <w:rPr>
                <w:b/>
                <w:bCs/>
                <w:color w:val="000000"/>
                <w:sz w:val="20"/>
                <w:szCs w:val="20"/>
              </w:rPr>
            </w:pPr>
            <w:r w:rsidRPr="00760411">
              <w:rPr>
                <w:b/>
                <w:bCs/>
                <w:color w:val="000000"/>
                <w:sz w:val="20"/>
                <w:szCs w:val="20"/>
              </w:rPr>
              <w:t xml:space="preserve">Loans receivable (Note </w:t>
            </w:r>
            <w:r w:rsidR="00822DB4" w:rsidRPr="00760411">
              <w:rPr>
                <w:b/>
                <w:bCs/>
                <w:color w:val="000000"/>
                <w:sz w:val="20"/>
                <w:szCs w:val="20"/>
              </w:rPr>
              <w:t>7</w:t>
            </w:r>
            <w:r w:rsidRPr="00760411">
              <w:rPr>
                <w:b/>
                <w:bCs/>
                <w:color w:val="000000"/>
                <w:sz w:val="20"/>
                <w:szCs w:val="20"/>
              </w:rPr>
              <w:t>)</w:t>
            </w:r>
          </w:p>
        </w:tc>
        <w:tc>
          <w:tcPr>
            <w:tcW w:w="243" w:type="pct"/>
            <w:tcBorders>
              <w:top w:val="nil"/>
              <w:left w:val="nil"/>
              <w:bottom w:val="nil"/>
              <w:right w:val="nil"/>
            </w:tcBorders>
            <w:shd w:val="clear" w:color="auto" w:fill="auto"/>
            <w:vAlign w:val="center"/>
            <w:hideMark/>
          </w:tcPr>
          <w:p w14:paraId="681C0EE1"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1773C15B" w14:textId="39AE5841" w:rsidR="00282F54" w:rsidRPr="00760411" w:rsidRDefault="003C7461" w:rsidP="00282F54">
            <w:pPr>
              <w:jc w:val="right"/>
              <w:rPr>
                <w:color w:val="000000"/>
                <w:sz w:val="20"/>
                <w:szCs w:val="20"/>
              </w:rPr>
            </w:pPr>
            <w:r w:rsidRPr="00760411">
              <w:rPr>
                <w:color w:val="000000"/>
                <w:sz w:val="20"/>
                <w:szCs w:val="20"/>
              </w:rPr>
              <w:t>1,076,391</w:t>
            </w:r>
          </w:p>
        </w:tc>
        <w:tc>
          <w:tcPr>
            <w:tcW w:w="175" w:type="pct"/>
            <w:tcBorders>
              <w:top w:val="nil"/>
              <w:left w:val="nil"/>
              <w:bottom w:val="nil"/>
              <w:right w:val="nil"/>
            </w:tcBorders>
            <w:shd w:val="clear" w:color="auto" w:fill="auto"/>
            <w:noWrap/>
            <w:vAlign w:val="center"/>
            <w:hideMark/>
          </w:tcPr>
          <w:p w14:paraId="4ECD7DF3"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3C65AE77" w14:textId="77777777" w:rsidR="00282F54" w:rsidRPr="00760411" w:rsidRDefault="00282F54" w:rsidP="00282F54">
            <w:pPr>
              <w:jc w:val="right"/>
              <w:rPr>
                <w:color w:val="000000"/>
                <w:sz w:val="20"/>
                <w:szCs w:val="20"/>
              </w:rPr>
            </w:pPr>
            <w:r w:rsidRPr="00760411">
              <w:rPr>
                <w:color w:val="000000"/>
                <w:sz w:val="20"/>
                <w:szCs w:val="20"/>
              </w:rPr>
              <w:t>1,427,201</w:t>
            </w:r>
          </w:p>
        </w:tc>
      </w:tr>
      <w:tr w:rsidR="00282F54" w:rsidRPr="00760411" w14:paraId="52CDCB7B" w14:textId="77777777" w:rsidTr="00835C5B">
        <w:trPr>
          <w:trHeight w:val="240"/>
        </w:trPr>
        <w:tc>
          <w:tcPr>
            <w:tcW w:w="2748" w:type="pct"/>
            <w:tcBorders>
              <w:top w:val="nil"/>
              <w:left w:val="nil"/>
              <w:right w:val="nil"/>
            </w:tcBorders>
            <w:shd w:val="clear" w:color="auto" w:fill="auto"/>
            <w:vAlign w:val="center"/>
            <w:hideMark/>
          </w:tcPr>
          <w:p w14:paraId="52CE1176" w14:textId="0F440088" w:rsidR="00282F54" w:rsidRPr="00760411" w:rsidRDefault="00F70468" w:rsidP="00282F54">
            <w:pPr>
              <w:rPr>
                <w:b/>
                <w:bCs/>
                <w:color w:val="000000"/>
                <w:sz w:val="20"/>
                <w:szCs w:val="20"/>
              </w:rPr>
            </w:pPr>
            <w:r>
              <w:rPr>
                <w:b/>
                <w:bCs/>
                <w:color w:val="000000"/>
                <w:sz w:val="20"/>
                <w:szCs w:val="20"/>
              </w:rPr>
              <w:t>F</w:t>
            </w:r>
            <w:r w:rsidR="00282F54" w:rsidRPr="00760411">
              <w:rPr>
                <w:b/>
                <w:bCs/>
                <w:color w:val="000000"/>
                <w:sz w:val="20"/>
                <w:szCs w:val="20"/>
              </w:rPr>
              <w:t xml:space="preserve">urniture, equipment, and right-of-use assets (Note </w:t>
            </w:r>
            <w:r w:rsidR="00822DB4" w:rsidRPr="00760411">
              <w:rPr>
                <w:b/>
                <w:bCs/>
                <w:color w:val="000000"/>
                <w:sz w:val="20"/>
                <w:szCs w:val="20"/>
              </w:rPr>
              <w:t>8</w:t>
            </w:r>
            <w:r w:rsidR="00282F54" w:rsidRPr="00760411">
              <w:rPr>
                <w:b/>
                <w:bCs/>
                <w:color w:val="000000"/>
                <w:sz w:val="20"/>
                <w:szCs w:val="20"/>
              </w:rPr>
              <w:t>)</w:t>
            </w:r>
          </w:p>
        </w:tc>
        <w:tc>
          <w:tcPr>
            <w:tcW w:w="243" w:type="pct"/>
            <w:tcBorders>
              <w:top w:val="nil"/>
              <w:left w:val="nil"/>
              <w:right w:val="nil"/>
            </w:tcBorders>
            <w:shd w:val="clear" w:color="auto" w:fill="auto"/>
            <w:vAlign w:val="center"/>
            <w:hideMark/>
          </w:tcPr>
          <w:p w14:paraId="4680B0D6" w14:textId="77777777" w:rsidR="00282F54" w:rsidRPr="00760411" w:rsidRDefault="00282F54" w:rsidP="00282F54">
            <w:pPr>
              <w:rPr>
                <w:b/>
                <w:bCs/>
                <w:color w:val="000000"/>
                <w:sz w:val="20"/>
                <w:szCs w:val="20"/>
              </w:rPr>
            </w:pPr>
          </w:p>
        </w:tc>
        <w:tc>
          <w:tcPr>
            <w:tcW w:w="917" w:type="pct"/>
            <w:tcBorders>
              <w:top w:val="nil"/>
              <w:left w:val="nil"/>
              <w:right w:val="nil"/>
            </w:tcBorders>
            <w:shd w:val="clear" w:color="auto" w:fill="auto"/>
            <w:noWrap/>
            <w:vAlign w:val="center"/>
            <w:hideMark/>
          </w:tcPr>
          <w:p w14:paraId="520CDAD5" w14:textId="1145BE65" w:rsidR="00282F54" w:rsidRPr="00760411" w:rsidRDefault="00957F7A" w:rsidP="00282F54">
            <w:pPr>
              <w:jc w:val="right"/>
              <w:rPr>
                <w:color w:val="000000"/>
                <w:sz w:val="20"/>
                <w:szCs w:val="20"/>
              </w:rPr>
            </w:pPr>
            <w:r w:rsidRPr="00760411">
              <w:rPr>
                <w:color w:val="000000"/>
                <w:sz w:val="20"/>
                <w:szCs w:val="20"/>
              </w:rPr>
              <w:t>18,855</w:t>
            </w:r>
          </w:p>
        </w:tc>
        <w:tc>
          <w:tcPr>
            <w:tcW w:w="175" w:type="pct"/>
            <w:tcBorders>
              <w:top w:val="nil"/>
              <w:left w:val="nil"/>
              <w:right w:val="nil"/>
            </w:tcBorders>
            <w:shd w:val="clear" w:color="auto" w:fill="auto"/>
            <w:noWrap/>
            <w:vAlign w:val="center"/>
            <w:hideMark/>
          </w:tcPr>
          <w:p w14:paraId="5233F618" w14:textId="77777777" w:rsidR="00282F54" w:rsidRPr="00760411" w:rsidRDefault="00282F54" w:rsidP="00282F54">
            <w:pPr>
              <w:jc w:val="right"/>
              <w:rPr>
                <w:color w:val="000000"/>
                <w:sz w:val="20"/>
                <w:szCs w:val="20"/>
              </w:rPr>
            </w:pPr>
          </w:p>
        </w:tc>
        <w:tc>
          <w:tcPr>
            <w:tcW w:w="916" w:type="pct"/>
            <w:tcBorders>
              <w:top w:val="nil"/>
              <w:left w:val="nil"/>
              <w:right w:val="nil"/>
            </w:tcBorders>
            <w:shd w:val="clear" w:color="auto" w:fill="auto"/>
            <w:noWrap/>
            <w:vAlign w:val="center"/>
            <w:hideMark/>
          </w:tcPr>
          <w:p w14:paraId="2E74D2F5" w14:textId="77777777" w:rsidR="00282F54" w:rsidRPr="00760411" w:rsidRDefault="00282F54" w:rsidP="00282F54">
            <w:pPr>
              <w:jc w:val="right"/>
              <w:rPr>
                <w:color w:val="000000"/>
                <w:sz w:val="20"/>
                <w:szCs w:val="20"/>
              </w:rPr>
            </w:pPr>
            <w:r w:rsidRPr="00760411">
              <w:rPr>
                <w:color w:val="000000"/>
                <w:sz w:val="20"/>
                <w:szCs w:val="20"/>
              </w:rPr>
              <w:t>290,399</w:t>
            </w:r>
          </w:p>
        </w:tc>
      </w:tr>
      <w:tr w:rsidR="00282F54" w:rsidRPr="00760411" w14:paraId="465707AD" w14:textId="77777777" w:rsidTr="00835C5B">
        <w:trPr>
          <w:trHeight w:val="240"/>
        </w:trPr>
        <w:tc>
          <w:tcPr>
            <w:tcW w:w="2748" w:type="pct"/>
            <w:tcBorders>
              <w:top w:val="nil"/>
              <w:left w:val="nil"/>
              <w:right w:val="nil"/>
            </w:tcBorders>
            <w:shd w:val="clear" w:color="auto" w:fill="auto"/>
            <w:vAlign w:val="center"/>
            <w:hideMark/>
          </w:tcPr>
          <w:p w14:paraId="3C041CA7" w14:textId="2C96E6B1" w:rsidR="00282F54" w:rsidRPr="00760411" w:rsidRDefault="00282F54" w:rsidP="00282F54">
            <w:pPr>
              <w:rPr>
                <w:b/>
                <w:bCs/>
                <w:color w:val="000000"/>
                <w:sz w:val="20"/>
                <w:szCs w:val="20"/>
              </w:rPr>
            </w:pPr>
            <w:r w:rsidRPr="00760411">
              <w:rPr>
                <w:b/>
                <w:bCs/>
                <w:color w:val="000000"/>
                <w:sz w:val="20"/>
                <w:szCs w:val="20"/>
              </w:rPr>
              <w:t xml:space="preserve">Intangible assets (Note </w:t>
            </w:r>
            <w:r w:rsidR="00822DB4" w:rsidRPr="00760411">
              <w:rPr>
                <w:b/>
                <w:bCs/>
                <w:color w:val="000000"/>
                <w:sz w:val="20"/>
                <w:szCs w:val="20"/>
              </w:rPr>
              <w:t>9</w:t>
            </w:r>
            <w:r w:rsidRPr="00760411">
              <w:rPr>
                <w:b/>
                <w:bCs/>
                <w:color w:val="000000"/>
                <w:sz w:val="20"/>
                <w:szCs w:val="20"/>
              </w:rPr>
              <w:t>)</w:t>
            </w:r>
          </w:p>
        </w:tc>
        <w:tc>
          <w:tcPr>
            <w:tcW w:w="243" w:type="pct"/>
            <w:tcBorders>
              <w:top w:val="nil"/>
              <w:left w:val="nil"/>
              <w:right w:val="nil"/>
            </w:tcBorders>
            <w:shd w:val="clear" w:color="auto" w:fill="auto"/>
            <w:vAlign w:val="center"/>
            <w:hideMark/>
          </w:tcPr>
          <w:p w14:paraId="04CC0CE3"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right w:val="nil"/>
            </w:tcBorders>
            <w:shd w:val="clear" w:color="auto" w:fill="auto"/>
            <w:noWrap/>
            <w:vAlign w:val="center"/>
            <w:hideMark/>
          </w:tcPr>
          <w:p w14:paraId="23170841" w14:textId="39812DDF" w:rsidR="00282F54" w:rsidRPr="00760411" w:rsidRDefault="003C7461" w:rsidP="00282F54">
            <w:pPr>
              <w:jc w:val="right"/>
              <w:rPr>
                <w:color w:val="000000"/>
                <w:sz w:val="20"/>
                <w:szCs w:val="20"/>
              </w:rPr>
            </w:pPr>
            <w:r w:rsidRPr="00760411">
              <w:rPr>
                <w:color w:val="000000"/>
                <w:sz w:val="20"/>
                <w:szCs w:val="20"/>
              </w:rPr>
              <w:t>594,17</w:t>
            </w:r>
            <w:r w:rsidR="0064224C" w:rsidRPr="00760411">
              <w:rPr>
                <w:color w:val="000000"/>
                <w:sz w:val="20"/>
                <w:szCs w:val="20"/>
              </w:rPr>
              <w:t>8</w:t>
            </w:r>
          </w:p>
        </w:tc>
        <w:tc>
          <w:tcPr>
            <w:tcW w:w="175" w:type="pct"/>
            <w:tcBorders>
              <w:top w:val="nil"/>
              <w:left w:val="nil"/>
              <w:right w:val="nil"/>
            </w:tcBorders>
            <w:shd w:val="clear" w:color="auto" w:fill="auto"/>
            <w:noWrap/>
            <w:vAlign w:val="center"/>
            <w:hideMark/>
          </w:tcPr>
          <w:p w14:paraId="45A46A66"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right w:val="nil"/>
            </w:tcBorders>
            <w:shd w:val="clear" w:color="auto" w:fill="auto"/>
            <w:noWrap/>
            <w:vAlign w:val="center"/>
            <w:hideMark/>
          </w:tcPr>
          <w:p w14:paraId="4F929B27" w14:textId="77777777" w:rsidR="00282F54" w:rsidRPr="00760411" w:rsidRDefault="00282F54" w:rsidP="00282F54">
            <w:pPr>
              <w:jc w:val="right"/>
              <w:rPr>
                <w:color w:val="000000"/>
                <w:sz w:val="20"/>
                <w:szCs w:val="20"/>
              </w:rPr>
            </w:pPr>
            <w:r w:rsidRPr="00760411">
              <w:rPr>
                <w:color w:val="000000"/>
                <w:sz w:val="20"/>
                <w:szCs w:val="20"/>
              </w:rPr>
              <w:t>626,979</w:t>
            </w:r>
          </w:p>
        </w:tc>
      </w:tr>
      <w:tr w:rsidR="003C7461" w:rsidRPr="00760411" w14:paraId="16C4C5BE" w14:textId="77777777" w:rsidTr="00835C5B">
        <w:trPr>
          <w:trHeight w:val="240"/>
        </w:trPr>
        <w:tc>
          <w:tcPr>
            <w:tcW w:w="2748" w:type="pct"/>
            <w:tcBorders>
              <w:left w:val="nil"/>
              <w:bottom w:val="single" w:sz="4" w:space="0" w:color="auto"/>
              <w:right w:val="nil"/>
            </w:tcBorders>
            <w:shd w:val="clear" w:color="auto" w:fill="auto"/>
            <w:vAlign w:val="center"/>
          </w:tcPr>
          <w:p w14:paraId="2E2B7ADF" w14:textId="12075753" w:rsidR="003C7461" w:rsidRPr="00760411" w:rsidRDefault="009D226E" w:rsidP="00282F54">
            <w:pPr>
              <w:rPr>
                <w:b/>
                <w:bCs/>
                <w:color w:val="000000"/>
                <w:sz w:val="20"/>
                <w:szCs w:val="20"/>
              </w:rPr>
            </w:pPr>
            <w:r w:rsidRPr="00760411">
              <w:rPr>
                <w:b/>
                <w:bCs/>
                <w:color w:val="000000"/>
                <w:sz w:val="20"/>
                <w:szCs w:val="20"/>
              </w:rPr>
              <w:t>Unallocated purchase price</w:t>
            </w:r>
            <w:r w:rsidRPr="00760411" w:rsidDel="009D226E">
              <w:rPr>
                <w:b/>
                <w:bCs/>
                <w:color w:val="000000"/>
                <w:sz w:val="20"/>
                <w:szCs w:val="20"/>
              </w:rPr>
              <w:t xml:space="preserve"> </w:t>
            </w:r>
            <w:r w:rsidR="003C7461" w:rsidRPr="00760411">
              <w:rPr>
                <w:b/>
                <w:bCs/>
                <w:color w:val="000000"/>
                <w:sz w:val="20"/>
                <w:szCs w:val="20"/>
              </w:rPr>
              <w:t xml:space="preserve">(Note </w:t>
            </w:r>
            <w:r w:rsidR="00822DB4" w:rsidRPr="00760411">
              <w:rPr>
                <w:b/>
                <w:bCs/>
                <w:color w:val="000000"/>
                <w:sz w:val="20"/>
                <w:szCs w:val="20"/>
              </w:rPr>
              <w:t>6</w:t>
            </w:r>
            <w:r w:rsidR="003C7461" w:rsidRPr="00760411">
              <w:rPr>
                <w:b/>
                <w:bCs/>
                <w:color w:val="000000"/>
                <w:sz w:val="20"/>
                <w:szCs w:val="20"/>
              </w:rPr>
              <w:t>)</w:t>
            </w:r>
          </w:p>
        </w:tc>
        <w:tc>
          <w:tcPr>
            <w:tcW w:w="243" w:type="pct"/>
            <w:tcBorders>
              <w:left w:val="nil"/>
              <w:bottom w:val="single" w:sz="4" w:space="0" w:color="auto"/>
              <w:right w:val="nil"/>
            </w:tcBorders>
            <w:shd w:val="clear" w:color="auto" w:fill="auto"/>
            <w:vAlign w:val="center"/>
          </w:tcPr>
          <w:p w14:paraId="55157D13" w14:textId="77777777" w:rsidR="003C7461" w:rsidRPr="00760411" w:rsidRDefault="003C7461" w:rsidP="00282F54">
            <w:pPr>
              <w:rPr>
                <w:b/>
                <w:bCs/>
                <w:color w:val="000000"/>
                <w:sz w:val="20"/>
                <w:szCs w:val="20"/>
              </w:rPr>
            </w:pPr>
          </w:p>
        </w:tc>
        <w:tc>
          <w:tcPr>
            <w:tcW w:w="917" w:type="pct"/>
            <w:tcBorders>
              <w:left w:val="nil"/>
              <w:bottom w:val="single" w:sz="4" w:space="0" w:color="auto"/>
              <w:right w:val="nil"/>
            </w:tcBorders>
            <w:shd w:val="clear" w:color="auto" w:fill="auto"/>
            <w:noWrap/>
            <w:vAlign w:val="center"/>
          </w:tcPr>
          <w:p w14:paraId="346C275B" w14:textId="580B974F" w:rsidR="003C7461" w:rsidRPr="00760411" w:rsidRDefault="003C7461" w:rsidP="00282F54">
            <w:pPr>
              <w:jc w:val="right"/>
              <w:rPr>
                <w:color w:val="000000"/>
                <w:sz w:val="20"/>
                <w:szCs w:val="20"/>
              </w:rPr>
            </w:pPr>
            <w:r w:rsidRPr="00760411">
              <w:rPr>
                <w:color w:val="000000"/>
                <w:sz w:val="20"/>
                <w:szCs w:val="20"/>
              </w:rPr>
              <w:t>1,462,622</w:t>
            </w:r>
          </w:p>
        </w:tc>
        <w:tc>
          <w:tcPr>
            <w:tcW w:w="175" w:type="pct"/>
            <w:tcBorders>
              <w:left w:val="nil"/>
              <w:bottom w:val="single" w:sz="4" w:space="0" w:color="auto"/>
              <w:right w:val="nil"/>
            </w:tcBorders>
            <w:shd w:val="clear" w:color="auto" w:fill="auto"/>
            <w:noWrap/>
            <w:vAlign w:val="center"/>
          </w:tcPr>
          <w:p w14:paraId="342EA5A7" w14:textId="77777777" w:rsidR="003C7461" w:rsidRPr="00760411" w:rsidRDefault="003C7461" w:rsidP="00282F54">
            <w:pPr>
              <w:jc w:val="right"/>
              <w:rPr>
                <w:color w:val="000000"/>
                <w:sz w:val="20"/>
                <w:szCs w:val="20"/>
              </w:rPr>
            </w:pPr>
          </w:p>
        </w:tc>
        <w:tc>
          <w:tcPr>
            <w:tcW w:w="916" w:type="pct"/>
            <w:tcBorders>
              <w:left w:val="nil"/>
              <w:bottom w:val="single" w:sz="4" w:space="0" w:color="auto"/>
              <w:right w:val="nil"/>
            </w:tcBorders>
            <w:shd w:val="clear" w:color="auto" w:fill="auto"/>
            <w:noWrap/>
            <w:vAlign w:val="center"/>
          </w:tcPr>
          <w:p w14:paraId="7C95B81A" w14:textId="08C85CBF" w:rsidR="003C7461" w:rsidRPr="00760411" w:rsidRDefault="003C7461" w:rsidP="00282F54">
            <w:pPr>
              <w:jc w:val="right"/>
              <w:rPr>
                <w:color w:val="000000"/>
                <w:sz w:val="20"/>
                <w:szCs w:val="20"/>
              </w:rPr>
            </w:pPr>
            <w:r w:rsidRPr="00760411">
              <w:rPr>
                <w:color w:val="000000"/>
                <w:sz w:val="20"/>
                <w:szCs w:val="20"/>
              </w:rPr>
              <w:t>-</w:t>
            </w:r>
          </w:p>
        </w:tc>
      </w:tr>
      <w:tr w:rsidR="00282F54" w:rsidRPr="00760411" w14:paraId="11AAF915" w14:textId="77777777" w:rsidTr="00835C5B">
        <w:trPr>
          <w:trHeight w:val="63"/>
        </w:trPr>
        <w:tc>
          <w:tcPr>
            <w:tcW w:w="2748" w:type="pct"/>
            <w:tcBorders>
              <w:top w:val="nil"/>
              <w:left w:val="nil"/>
              <w:bottom w:val="nil"/>
              <w:right w:val="nil"/>
            </w:tcBorders>
            <w:shd w:val="clear" w:color="auto" w:fill="auto"/>
            <w:vAlign w:val="center"/>
            <w:hideMark/>
          </w:tcPr>
          <w:p w14:paraId="13CE4FE4"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6CDBA1B6"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40D7B2B0"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2DEECF3F"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3D917E67" w14:textId="77777777" w:rsidR="00282F54" w:rsidRPr="00760411" w:rsidRDefault="00282F54" w:rsidP="00282F54">
            <w:pPr>
              <w:jc w:val="right"/>
              <w:rPr>
                <w:sz w:val="20"/>
                <w:szCs w:val="20"/>
              </w:rPr>
            </w:pPr>
          </w:p>
        </w:tc>
      </w:tr>
      <w:tr w:rsidR="00282F54" w:rsidRPr="00760411" w14:paraId="1738F820" w14:textId="77777777" w:rsidTr="00835C5B">
        <w:trPr>
          <w:trHeight w:val="240"/>
        </w:trPr>
        <w:tc>
          <w:tcPr>
            <w:tcW w:w="2748" w:type="pct"/>
            <w:tcBorders>
              <w:top w:val="nil"/>
              <w:left w:val="nil"/>
              <w:bottom w:val="double" w:sz="6" w:space="0" w:color="auto"/>
              <w:right w:val="nil"/>
            </w:tcBorders>
            <w:shd w:val="clear" w:color="auto" w:fill="auto"/>
            <w:vAlign w:val="center"/>
            <w:hideMark/>
          </w:tcPr>
          <w:p w14:paraId="67224EED" w14:textId="77777777" w:rsidR="00282F54" w:rsidRPr="00760411" w:rsidRDefault="00282F54" w:rsidP="00282F54">
            <w:pPr>
              <w:rPr>
                <w:b/>
                <w:bCs/>
                <w:color w:val="000000"/>
                <w:sz w:val="20"/>
                <w:szCs w:val="20"/>
              </w:rPr>
            </w:pPr>
            <w:r w:rsidRPr="00760411">
              <w:rPr>
                <w:b/>
                <w:bCs/>
                <w:color w:val="000000"/>
                <w:sz w:val="20"/>
                <w:szCs w:val="20"/>
              </w:rPr>
              <w:t>Total assets</w:t>
            </w:r>
          </w:p>
        </w:tc>
        <w:tc>
          <w:tcPr>
            <w:tcW w:w="243" w:type="pct"/>
            <w:tcBorders>
              <w:top w:val="nil"/>
              <w:left w:val="nil"/>
              <w:bottom w:val="double" w:sz="6" w:space="0" w:color="auto"/>
              <w:right w:val="nil"/>
            </w:tcBorders>
            <w:shd w:val="clear" w:color="auto" w:fill="auto"/>
            <w:vAlign w:val="center"/>
            <w:hideMark/>
          </w:tcPr>
          <w:p w14:paraId="2A3AD20F"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bottom w:val="double" w:sz="6" w:space="0" w:color="auto"/>
              <w:right w:val="nil"/>
            </w:tcBorders>
            <w:shd w:val="clear" w:color="auto" w:fill="auto"/>
            <w:noWrap/>
            <w:vAlign w:val="center"/>
            <w:hideMark/>
          </w:tcPr>
          <w:p w14:paraId="2D995BDF" w14:textId="1A61C484" w:rsidR="00282F54" w:rsidRPr="00760411" w:rsidRDefault="00282F54" w:rsidP="00282F54">
            <w:pPr>
              <w:jc w:val="right"/>
              <w:rPr>
                <w:color w:val="000000"/>
                <w:sz w:val="20"/>
                <w:szCs w:val="20"/>
              </w:rPr>
            </w:pPr>
            <w:r w:rsidRPr="00760411">
              <w:rPr>
                <w:color w:val="000000"/>
                <w:sz w:val="20"/>
                <w:szCs w:val="20"/>
              </w:rPr>
              <w:t>4,</w:t>
            </w:r>
            <w:r w:rsidR="007D162B">
              <w:rPr>
                <w:color w:val="000000"/>
                <w:sz w:val="20"/>
                <w:szCs w:val="20"/>
              </w:rPr>
              <w:t>5</w:t>
            </w:r>
            <w:r w:rsidR="003C7461" w:rsidRPr="00760411">
              <w:rPr>
                <w:color w:val="000000"/>
                <w:sz w:val="20"/>
                <w:szCs w:val="20"/>
              </w:rPr>
              <w:t>8</w:t>
            </w:r>
            <w:r w:rsidR="00957F7A" w:rsidRPr="00760411">
              <w:rPr>
                <w:color w:val="000000"/>
                <w:sz w:val="20"/>
                <w:szCs w:val="20"/>
              </w:rPr>
              <w:t>1,18</w:t>
            </w:r>
            <w:r w:rsidR="0064224C" w:rsidRPr="00760411">
              <w:rPr>
                <w:color w:val="000000"/>
                <w:sz w:val="20"/>
                <w:szCs w:val="20"/>
              </w:rPr>
              <w:t>4</w:t>
            </w:r>
          </w:p>
        </w:tc>
        <w:tc>
          <w:tcPr>
            <w:tcW w:w="175" w:type="pct"/>
            <w:tcBorders>
              <w:top w:val="nil"/>
              <w:left w:val="nil"/>
              <w:bottom w:val="double" w:sz="6" w:space="0" w:color="auto"/>
              <w:right w:val="nil"/>
            </w:tcBorders>
            <w:shd w:val="clear" w:color="auto" w:fill="auto"/>
            <w:noWrap/>
            <w:vAlign w:val="center"/>
            <w:hideMark/>
          </w:tcPr>
          <w:p w14:paraId="6F664C5B"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double" w:sz="6" w:space="0" w:color="auto"/>
              <w:right w:val="nil"/>
            </w:tcBorders>
            <w:shd w:val="clear" w:color="auto" w:fill="auto"/>
            <w:noWrap/>
            <w:vAlign w:val="center"/>
            <w:hideMark/>
          </w:tcPr>
          <w:p w14:paraId="428C30CD" w14:textId="77777777" w:rsidR="00282F54" w:rsidRPr="00760411" w:rsidRDefault="00282F54" w:rsidP="00282F54">
            <w:pPr>
              <w:jc w:val="right"/>
              <w:rPr>
                <w:color w:val="000000"/>
                <w:sz w:val="20"/>
                <w:szCs w:val="20"/>
              </w:rPr>
            </w:pPr>
            <w:r w:rsidRPr="00760411">
              <w:rPr>
                <w:color w:val="000000"/>
                <w:sz w:val="20"/>
                <w:szCs w:val="20"/>
              </w:rPr>
              <w:t>4,571,913</w:t>
            </w:r>
          </w:p>
        </w:tc>
      </w:tr>
      <w:tr w:rsidR="00282F54" w:rsidRPr="00760411" w14:paraId="561B7D54" w14:textId="77777777" w:rsidTr="00835C5B">
        <w:trPr>
          <w:trHeight w:val="21"/>
        </w:trPr>
        <w:tc>
          <w:tcPr>
            <w:tcW w:w="2748" w:type="pct"/>
            <w:tcBorders>
              <w:top w:val="nil"/>
              <w:left w:val="nil"/>
              <w:bottom w:val="nil"/>
              <w:right w:val="nil"/>
            </w:tcBorders>
            <w:shd w:val="clear" w:color="auto" w:fill="auto"/>
            <w:vAlign w:val="center"/>
            <w:hideMark/>
          </w:tcPr>
          <w:p w14:paraId="7F939A52" w14:textId="77777777" w:rsidR="00282F54" w:rsidRPr="00760411" w:rsidRDefault="00282F54" w:rsidP="00282F54">
            <w:pPr>
              <w:jc w:val="right"/>
              <w:rPr>
                <w:color w:val="000000"/>
                <w:sz w:val="20"/>
                <w:szCs w:val="20"/>
                <w:highlight w:val="yellow"/>
              </w:rPr>
            </w:pPr>
          </w:p>
        </w:tc>
        <w:tc>
          <w:tcPr>
            <w:tcW w:w="243" w:type="pct"/>
            <w:tcBorders>
              <w:top w:val="nil"/>
              <w:left w:val="nil"/>
              <w:bottom w:val="nil"/>
              <w:right w:val="nil"/>
            </w:tcBorders>
            <w:shd w:val="clear" w:color="auto" w:fill="auto"/>
            <w:vAlign w:val="center"/>
            <w:hideMark/>
          </w:tcPr>
          <w:p w14:paraId="5C942C8E"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3B7E2BA9"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725DD7B2"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1528B7AF" w14:textId="77777777" w:rsidR="00282F54" w:rsidRPr="00760411" w:rsidRDefault="00282F54" w:rsidP="00282F54">
            <w:pPr>
              <w:jc w:val="right"/>
              <w:rPr>
                <w:sz w:val="20"/>
                <w:szCs w:val="20"/>
              </w:rPr>
            </w:pPr>
          </w:p>
        </w:tc>
      </w:tr>
      <w:tr w:rsidR="00282F54" w:rsidRPr="00760411" w14:paraId="521D3D95" w14:textId="77777777" w:rsidTr="00835C5B">
        <w:trPr>
          <w:trHeight w:val="240"/>
        </w:trPr>
        <w:tc>
          <w:tcPr>
            <w:tcW w:w="2748" w:type="pct"/>
            <w:tcBorders>
              <w:top w:val="nil"/>
              <w:left w:val="nil"/>
              <w:bottom w:val="nil"/>
              <w:right w:val="nil"/>
            </w:tcBorders>
            <w:shd w:val="clear" w:color="auto" w:fill="auto"/>
            <w:vAlign w:val="center"/>
            <w:hideMark/>
          </w:tcPr>
          <w:p w14:paraId="77A3E7AA" w14:textId="77777777" w:rsidR="00282F54" w:rsidRPr="00760411" w:rsidRDefault="00282F54" w:rsidP="00282F54">
            <w:pPr>
              <w:outlineLvl w:val="0"/>
              <w:rPr>
                <w:b/>
                <w:bCs/>
                <w:color w:val="000000"/>
                <w:sz w:val="20"/>
                <w:szCs w:val="20"/>
              </w:rPr>
            </w:pPr>
            <w:r w:rsidRPr="00760411">
              <w:rPr>
                <w:b/>
                <w:bCs/>
                <w:color w:val="000000"/>
                <w:sz w:val="20"/>
                <w:szCs w:val="20"/>
              </w:rPr>
              <w:t>LIABILITIES AND SHAREHOLDERS’ DEFICIENCY</w:t>
            </w:r>
          </w:p>
        </w:tc>
        <w:tc>
          <w:tcPr>
            <w:tcW w:w="243" w:type="pct"/>
            <w:tcBorders>
              <w:top w:val="nil"/>
              <w:left w:val="nil"/>
              <w:bottom w:val="nil"/>
              <w:right w:val="nil"/>
            </w:tcBorders>
            <w:shd w:val="clear" w:color="auto" w:fill="auto"/>
            <w:vAlign w:val="center"/>
            <w:hideMark/>
          </w:tcPr>
          <w:p w14:paraId="65FB5107" w14:textId="77777777" w:rsidR="00282F54" w:rsidRPr="00760411" w:rsidRDefault="00282F54" w:rsidP="00282F54">
            <w:pPr>
              <w:outlineLvl w:val="0"/>
              <w:rPr>
                <w:b/>
                <w:bCs/>
                <w:color w:val="000000"/>
                <w:sz w:val="20"/>
                <w:szCs w:val="20"/>
              </w:rPr>
            </w:pPr>
          </w:p>
        </w:tc>
        <w:tc>
          <w:tcPr>
            <w:tcW w:w="917" w:type="pct"/>
            <w:tcBorders>
              <w:top w:val="nil"/>
              <w:left w:val="nil"/>
              <w:bottom w:val="nil"/>
              <w:right w:val="nil"/>
            </w:tcBorders>
            <w:shd w:val="clear" w:color="auto" w:fill="auto"/>
            <w:noWrap/>
            <w:vAlign w:val="center"/>
            <w:hideMark/>
          </w:tcPr>
          <w:p w14:paraId="75606583" w14:textId="77777777" w:rsidR="00282F54" w:rsidRPr="00760411" w:rsidRDefault="00282F54" w:rsidP="00282F54">
            <w:pPr>
              <w:outlineLvl w:val="0"/>
              <w:rPr>
                <w:sz w:val="20"/>
                <w:szCs w:val="20"/>
              </w:rPr>
            </w:pPr>
          </w:p>
        </w:tc>
        <w:tc>
          <w:tcPr>
            <w:tcW w:w="175" w:type="pct"/>
            <w:tcBorders>
              <w:top w:val="nil"/>
              <w:left w:val="nil"/>
              <w:bottom w:val="nil"/>
              <w:right w:val="nil"/>
            </w:tcBorders>
            <w:shd w:val="clear" w:color="auto" w:fill="auto"/>
            <w:noWrap/>
            <w:vAlign w:val="center"/>
            <w:hideMark/>
          </w:tcPr>
          <w:p w14:paraId="0E2348FB" w14:textId="77777777" w:rsidR="00282F54" w:rsidRPr="00760411" w:rsidRDefault="00282F54" w:rsidP="00282F54">
            <w:pPr>
              <w:jc w:val="right"/>
              <w:outlineLvl w:val="0"/>
              <w:rPr>
                <w:sz w:val="20"/>
                <w:szCs w:val="20"/>
              </w:rPr>
            </w:pPr>
          </w:p>
        </w:tc>
        <w:tc>
          <w:tcPr>
            <w:tcW w:w="916" w:type="pct"/>
            <w:tcBorders>
              <w:top w:val="nil"/>
              <w:left w:val="nil"/>
              <w:bottom w:val="nil"/>
              <w:right w:val="nil"/>
            </w:tcBorders>
            <w:shd w:val="clear" w:color="auto" w:fill="auto"/>
            <w:noWrap/>
            <w:vAlign w:val="center"/>
            <w:hideMark/>
          </w:tcPr>
          <w:p w14:paraId="7AB3785B" w14:textId="77777777" w:rsidR="00282F54" w:rsidRPr="00760411" w:rsidRDefault="00282F54" w:rsidP="00282F54">
            <w:pPr>
              <w:jc w:val="right"/>
              <w:outlineLvl w:val="0"/>
              <w:rPr>
                <w:sz w:val="20"/>
                <w:szCs w:val="20"/>
              </w:rPr>
            </w:pPr>
          </w:p>
        </w:tc>
      </w:tr>
      <w:tr w:rsidR="00282F54" w:rsidRPr="00760411" w14:paraId="16F30C64" w14:textId="77777777" w:rsidTr="00835C5B">
        <w:trPr>
          <w:trHeight w:val="66"/>
        </w:trPr>
        <w:tc>
          <w:tcPr>
            <w:tcW w:w="2748" w:type="pct"/>
            <w:tcBorders>
              <w:top w:val="nil"/>
              <w:left w:val="nil"/>
              <w:bottom w:val="nil"/>
              <w:right w:val="nil"/>
            </w:tcBorders>
            <w:shd w:val="clear" w:color="auto" w:fill="auto"/>
            <w:vAlign w:val="center"/>
            <w:hideMark/>
          </w:tcPr>
          <w:p w14:paraId="46D06727" w14:textId="77777777" w:rsidR="00282F54" w:rsidRPr="00760411" w:rsidRDefault="00282F54" w:rsidP="00282F54">
            <w:pPr>
              <w:jc w:val="right"/>
              <w:outlineLvl w:val="0"/>
              <w:rPr>
                <w:sz w:val="20"/>
                <w:szCs w:val="20"/>
              </w:rPr>
            </w:pPr>
          </w:p>
        </w:tc>
        <w:tc>
          <w:tcPr>
            <w:tcW w:w="243" w:type="pct"/>
            <w:tcBorders>
              <w:top w:val="nil"/>
              <w:left w:val="nil"/>
              <w:bottom w:val="nil"/>
              <w:right w:val="nil"/>
            </w:tcBorders>
            <w:shd w:val="clear" w:color="auto" w:fill="auto"/>
            <w:vAlign w:val="center"/>
            <w:hideMark/>
          </w:tcPr>
          <w:p w14:paraId="44121DD5"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060F45FB"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2FC5A3F"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761ECEDE" w14:textId="77777777" w:rsidR="00282F54" w:rsidRPr="00760411" w:rsidRDefault="00282F54" w:rsidP="00282F54">
            <w:pPr>
              <w:jc w:val="right"/>
              <w:rPr>
                <w:sz w:val="20"/>
                <w:szCs w:val="20"/>
              </w:rPr>
            </w:pPr>
          </w:p>
        </w:tc>
      </w:tr>
      <w:tr w:rsidR="00282F54" w:rsidRPr="00760411" w14:paraId="4F14B95F" w14:textId="77777777" w:rsidTr="00835C5B">
        <w:trPr>
          <w:trHeight w:val="240"/>
        </w:trPr>
        <w:tc>
          <w:tcPr>
            <w:tcW w:w="2748" w:type="pct"/>
            <w:tcBorders>
              <w:top w:val="nil"/>
              <w:left w:val="nil"/>
              <w:bottom w:val="nil"/>
              <w:right w:val="nil"/>
            </w:tcBorders>
            <w:shd w:val="clear" w:color="auto" w:fill="auto"/>
            <w:vAlign w:val="center"/>
            <w:hideMark/>
          </w:tcPr>
          <w:p w14:paraId="052F27FB" w14:textId="77777777" w:rsidR="00282F54" w:rsidRPr="00760411" w:rsidRDefault="00282F54" w:rsidP="00282F54">
            <w:pPr>
              <w:rPr>
                <w:b/>
                <w:bCs/>
                <w:color w:val="000000"/>
                <w:sz w:val="20"/>
                <w:szCs w:val="20"/>
              </w:rPr>
            </w:pPr>
            <w:r w:rsidRPr="00760411">
              <w:rPr>
                <w:b/>
                <w:bCs/>
                <w:color w:val="000000"/>
                <w:sz w:val="20"/>
                <w:szCs w:val="20"/>
              </w:rPr>
              <w:t>Current liabilities</w:t>
            </w:r>
          </w:p>
        </w:tc>
        <w:tc>
          <w:tcPr>
            <w:tcW w:w="243" w:type="pct"/>
            <w:tcBorders>
              <w:top w:val="nil"/>
              <w:left w:val="nil"/>
              <w:bottom w:val="nil"/>
              <w:right w:val="nil"/>
            </w:tcBorders>
            <w:shd w:val="clear" w:color="auto" w:fill="auto"/>
            <w:vAlign w:val="center"/>
            <w:hideMark/>
          </w:tcPr>
          <w:p w14:paraId="7D1D7EE1"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6F996E81"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6C3132F0"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367C0691" w14:textId="77777777" w:rsidR="00282F54" w:rsidRPr="00760411" w:rsidRDefault="00282F54" w:rsidP="00282F54">
            <w:pPr>
              <w:jc w:val="right"/>
              <w:rPr>
                <w:sz w:val="20"/>
                <w:szCs w:val="20"/>
              </w:rPr>
            </w:pPr>
          </w:p>
        </w:tc>
      </w:tr>
      <w:tr w:rsidR="00282F54" w:rsidRPr="00760411" w14:paraId="5995B44B" w14:textId="77777777" w:rsidTr="00835C5B">
        <w:trPr>
          <w:trHeight w:val="240"/>
        </w:trPr>
        <w:tc>
          <w:tcPr>
            <w:tcW w:w="2748" w:type="pct"/>
            <w:tcBorders>
              <w:top w:val="nil"/>
              <w:left w:val="nil"/>
              <w:bottom w:val="nil"/>
              <w:right w:val="nil"/>
            </w:tcBorders>
            <w:shd w:val="clear" w:color="auto" w:fill="auto"/>
            <w:vAlign w:val="center"/>
            <w:hideMark/>
          </w:tcPr>
          <w:p w14:paraId="69186367" w14:textId="77777777" w:rsidR="00282F54" w:rsidRPr="00760411" w:rsidRDefault="00282F54" w:rsidP="00282F54">
            <w:pPr>
              <w:ind w:firstLineChars="100" w:firstLine="200"/>
              <w:rPr>
                <w:color w:val="000000"/>
                <w:sz w:val="20"/>
                <w:szCs w:val="20"/>
              </w:rPr>
            </w:pPr>
            <w:r w:rsidRPr="00760411">
              <w:rPr>
                <w:color w:val="000000"/>
                <w:sz w:val="20"/>
                <w:szCs w:val="20"/>
              </w:rPr>
              <w:t>Accounts payable and accrued liabilities</w:t>
            </w:r>
          </w:p>
        </w:tc>
        <w:tc>
          <w:tcPr>
            <w:tcW w:w="243" w:type="pct"/>
            <w:tcBorders>
              <w:top w:val="nil"/>
              <w:left w:val="nil"/>
              <w:bottom w:val="nil"/>
              <w:right w:val="nil"/>
            </w:tcBorders>
            <w:shd w:val="clear" w:color="auto" w:fill="auto"/>
            <w:vAlign w:val="center"/>
            <w:hideMark/>
          </w:tcPr>
          <w:p w14:paraId="67AA43DA"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09F9EF72" w14:textId="6AA8495A" w:rsidR="00282F54" w:rsidRPr="00760411" w:rsidRDefault="007D162B" w:rsidP="00282F54">
            <w:pPr>
              <w:jc w:val="right"/>
              <w:rPr>
                <w:color w:val="000000"/>
                <w:sz w:val="20"/>
                <w:szCs w:val="20"/>
              </w:rPr>
            </w:pPr>
            <w:r>
              <w:rPr>
                <w:color w:val="000000"/>
                <w:sz w:val="20"/>
                <w:szCs w:val="20"/>
              </w:rPr>
              <w:t>615</w:t>
            </w:r>
            <w:r w:rsidR="003C7461" w:rsidRPr="00760411">
              <w:rPr>
                <w:color w:val="000000"/>
                <w:sz w:val="20"/>
                <w:szCs w:val="20"/>
              </w:rPr>
              <w:t>,</w:t>
            </w:r>
            <w:r>
              <w:rPr>
                <w:color w:val="000000"/>
                <w:sz w:val="20"/>
                <w:szCs w:val="20"/>
              </w:rPr>
              <w:t>430</w:t>
            </w:r>
          </w:p>
        </w:tc>
        <w:tc>
          <w:tcPr>
            <w:tcW w:w="175" w:type="pct"/>
            <w:tcBorders>
              <w:top w:val="nil"/>
              <w:left w:val="nil"/>
              <w:bottom w:val="nil"/>
              <w:right w:val="nil"/>
            </w:tcBorders>
            <w:shd w:val="clear" w:color="auto" w:fill="auto"/>
            <w:noWrap/>
            <w:vAlign w:val="center"/>
            <w:hideMark/>
          </w:tcPr>
          <w:p w14:paraId="54639572"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0B6916A0" w14:textId="77777777" w:rsidR="00282F54" w:rsidRPr="00760411" w:rsidRDefault="00282F54" w:rsidP="00282F54">
            <w:pPr>
              <w:jc w:val="right"/>
              <w:rPr>
                <w:color w:val="000000"/>
                <w:sz w:val="20"/>
                <w:szCs w:val="20"/>
              </w:rPr>
            </w:pPr>
            <w:r w:rsidRPr="00760411">
              <w:rPr>
                <w:color w:val="000000"/>
                <w:sz w:val="20"/>
                <w:szCs w:val="20"/>
              </w:rPr>
              <w:t>522,038</w:t>
            </w:r>
          </w:p>
        </w:tc>
      </w:tr>
      <w:tr w:rsidR="00282F54" w:rsidRPr="00760411" w14:paraId="2B46FC34" w14:textId="77777777" w:rsidTr="00835C5B">
        <w:trPr>
          <w:trHeight w:val="240"/>
        </w:trPr>
        <w:tc>
          <w:tcPr>
            <w:tcW w:w="2748" w:type="pct"/>
            <w:tcBorders>
              <w:top w:val="nil"/>
              <w:left w:val="nil"/>
              <w:bottom w:val="nil"/>
              <w:right w:val="nil"/>
            </w:tcBorders>
            <w:shd w:val="clear" w:color="auto" w:fill="auto"/>
            <w:vAlign w:val="center"/>
            <w:hideMark/>
          </w:tcPr>
          <w:p w14:paraId="5F32759D" w14:textId="77777777" w:rsidR="00282F54" w:rsidRPr="00760411" w:rsidRDefault="00282F54" w:rsidP="00282F54">
            <w:pPr>
              <w:ind w:firstLineChars="100" w:firstLine="200"/>
              <w:rPr>
                <w:color w:val="000000"/>
                <w:sz w:val="20"/>
                <w:szCs w:val="20"/>
              </w:rPr>
            </w:pPr>
            <w:r w:rsidRPr="00760411">
              <w:rPr>
                <w:color w:val="000000"/>
                <w:sz w:val="20"/>
                <w:szCs w:val="20"/>
              </w:rPr>
              <w:t>Interest payable</w:t>
            </w:r>
          </w:p>
        </w:tc>
        <w:tc>
          <w:tcPr>
            <w:tcW w:w="243" w:type="pct"/>
            <w:tcBorders>
              <w:top w:val="nil"/>
              <w:left w:val="nil"/>
              <w:bottom w:val="nil"/>
              <w:right w:val="nil"/>
            </w:tcBorders>
            <w:shd w:val="clear" w:color="auto" w:fill="auto"/>
            <w:vAlign w:val="center"/>
            <w:hideMark/>
          </w:tcPr>
          <w:p w14:paraId="2DD6F61B"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2AAC3D21" w14:textId="05DBA601" w:rsidR="00282F54" w:rsidRPr="00760411" w:rsidRDefault="00282F54" w:rsidP="00282F54">
            <w:pPr>
              <w:jc w:val="right"/>
              <w:rPr>
                <w:color w:val="000000"/>
                <w:sz w:val="20"/>
                <w:szCs w:val="20"/>
              </w:rPr>
            </w:pPr>
            <w:r w:rsidRPr="00760411">
              <w:rPr>
                <w:color w:val="000000"/>
                <w:sz w:val="20"/>
                <w:szCs w:val="20"/>
              </w:rPr>
              <w:t>1</w:t>
            </w:r>
            <w:r w:rsidR="003C7461" w:rsidRPr="00760411">
              <w:rPr>
                <w:color w:val="000000"/>
                <w:sz w:val="20"/>
                <w:szCs w:val="20"/>
              </w:rPr>
              <w:t>31,684</w:t>
            </w:r>
          </w:p>
        </w:tc>
        <w:tc>
          <w:tcPr>
            <w:tcW w:w="175" w:type="pct"/>
            <w:tcBorders>
              <w:top w:val="nil"/>
              <w:left w:val="nil"/>
              <w:bottom w:val="nil"/>
              <w:right w:val="nil"/>
            </w:tcBorders>
            <w:shd w:val="clear" w:color="auto" w:fill="auto"/>
            <w:noWrap/>
            <w:vAlign w:val="center"/>
            <w:hideMark/>
          </w:tcPr>
          <w:p w14:paraId="2CB1F43B"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41F33BB9" w14:textId="77777777" w:rsidR="00282F54" w:rsidRPr="00760411" w:rsidRDefault="00282F54" w:rsidP="00282F54">
            <w:pPr>
              <w:jc w:val="right"/>
              <w:rPr>
                <w:color w:val="000000"/>
                <w:sz w:val="20"/>
                <w:szCs w:val="20"/>
              </w:rPr>
            </w:pPr>
            <w:r w:rsidRPr="00760411">
              <w:rPr>
                <w:color w:val="000000"/>
                <w:sz w:val="20"/>
                <w:szCs w:val="20"/>
              </w:rPr>
              <w:t>43,921</w:t>
            </w:r>
          </w:p>
        </w:tc>
      </w:tr>
      <w:tr w:rsidR="00282F54" w:rsidRPr="00760411" w14:paraId="37556F5F" w14:textId="77777777" w:rsidTr="00835C5B">
        <w:trPr>
          <w:trHeight w:val="240"/>
        </w:trPr>
        <w:tc>
          <w:tcPr>
            <w:tcW w:w="2748" w:type="pct"/>
            <w:tcBorders>
              <w:top w:val="nil"/>
              <w:left w:val="nil"/>
              <w:bottom w:val="nil"/>
              <w:right w:val="nil"/>
            </w:tcBorders>
            <w:shd w:val="clear" w:color="auto" w:fill="auto"/>
            <w:vAlign w:val="center"/>
            <w:hideMark/>
          </w:tcPr>
          <w:p w14:paraId="5D46221E" w14:textId="7BEBFC93" w:rsidR="00282F54" w:rsidRPr="00760411" w:rsidRDefault="00282F54" w:rsidP="00282F54">
            <w:pPr>
              <w:ind w:firstLineChars="100" w:firstLine="200"/>
              <w:rPr>
                <w:color w:val="000000"/>
                <w:sz w:val="20"/>
                <w:szCs w:val="20"/>
              </w:rPr>
            </w:pPr>
            <w:r w:rsidRPr="00760411">
              <w:rPr>
                <w:color w:val="000000"/>
                <w:sz w:val="20"/>
                <w:szCs w:val="20"/>
              </w:rPr>
              <w:t xml:space="preserve">Convertible debentures (Note </w:t>
            </w:r>
            <w:r w:rsidR="00822DB4" w:rsidRPr="00760411">
              <w:rPr>
                <w:color w:val="000000"/>
                <w:sz w:val="20"/>
                <w:szCs w:val="20"/>
              </w:rPr>
              <w:t>10</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6697C0D2"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66CD3604" w14:textId="069C4B9F" w:rsidR="00282F54" w:rsidRPr="00760411" w:rsidRDefault="003C7461" w:rsidP="00282F54">
            <w:pPr>
              <w:jc w:val="right"/>
              <w:rPr>
                <w:color w:val="000000"/>
                <w:sz w:val="20"/>
                <w:szCs w:val="20"/>
              </w:rPr>
            </w:pPr>
            <w:r w:rsidRPr="00760411">
              <w:rPr>
                <w:color w:val="000000"/>
                <w:sz w:val="20"/>
                <w:szCs w:val="20"/>
              </w:rPr>
              <w:t>1,196,003</w:t>
            </w:r>
          </w:p>
        </w:tc>
        <w:tc>
          <w:tcPr>
            <w:tcW w:w="175" w:type="pct"/>
            <w:tcBorders>
              <w:top w:val="nil"/>
              <w:left w:val="nil"/>
              <w:bottom w:val="nil"/>
              <w:right w:val="nil"/>
            </w:tcBorders>
            <w:shd w:val="clear" w:color="auto" w:fill="auto"/>
            <w:noWrap/>
            <w:vAlign w:val="center"/>
            <w:hideMark/>
          </w:tcPr>
          <w:p w14:paraId="699E2FB6"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74994769" w14:textId="77777777" w:rsidR="00282F54" w:rsidRPr="00760411" w:rsidRDefault="00282F54" w:rsidP="00282F54">
            <w:pPr>
              <w:jc w:val="right"/>
              <w:rPr>
                <w:color w:val="000000"/>
                <w:sz w:val="20"/>
                <w:szCs w:val="20"/>
              </w:rPr>
            </w:pPr>
            <w:r w:rsidRPr="00760411">
              <w:rPr>
                <w:color w:val="000000"/>
                <w:sz w:val="20"/>
                <w:szCs w:val="20"/>
              </w:rPr>
              <w:t>422,495</w:t>
            </w:r>
          </w:p>
        </w:tc>
      </w:tr>
      <w:tr w:rsidR="00282F54" w:rsidRPr="00760411" w14:paraId="3CD8A16B" w14:textId="77777777" w:rsidTr="00835C5B">
        <w:trPr>
          <w:trHeight w:val="240"/>
        </w:trPr>
        <w:tc>
          <w:tcPr>
            <w:tcW w:w="2748" w:type="pct"/>
            <w:tcBorders>
              <w:top w:val="nil"/>
              <w:left w:val="nil"/>
              <w:bottom w:val="nil"/>
              <w:right w:val="nil"/>
            </w:tcBorders>
            <w:shd w:val="clear" w:color="auto" w:fill="auto"/>
            <w:vAlign w:val="center"/>
            <w:hideMark/>
          </w:tcPr>
          <w:p w14:paraId="639E5C76" w14:textId="34AC6281" w:rsidR="00282F54" w:rsidRPr="00760411" w:rsidRDefault="00282F54" w:rsidP="00282F54">
            <w:pPr>
              <w:ind w:firstLineChars="100" w:firstLine="200"/>
              <w:rPr>
                <w:color w:val="000000"/>
                <w:sz w:val="20"/>
                <w:szCs w:val="20"/>
              </w:rPr>
            </w:pPr>
            <w:r w:rsidRPr="00760411">
              <w:rPr>
                <w:color w:val="000000"/>
                <w:sz w:val="20"/>
                <w:szCs w:val="20"/>
              </w:rPr>
              <w:t xml:space="preserve">Loans payable (Notes </w:t>
            </w:r>
            <w:r w:rsidR="003004FA" w:rsidRPr="00760411">
              <w:rPr>
                <w:color w:val="000000"/>
                <w:sz w:val="20"/>
                <w:szCs w:val="20"/>
              </w:rPr>
              <w:t>5</w:t>
            </w:r>
            <w:r w:rsidRPr="00760411">
              <w:rPr>
                <w:color w:val="000000"/>
                <w:sz w:val="20"/>
                <w:szCs w:val="20"/>
              </w:rPr>
              <w:t xml:space="preserve"> and 1</w:t>
            </w:r>
            <w:r w:rsidR="00822DB4" w:rsidRPr="00760411">
              <w:rPr>
                <w:color w:val="000000"/>
                <w:sz w:val="20"/>
                <w:szCs w:val="20"/>
              </w:rPr>
              <w:t>1</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4D4E099C"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45D39158" w14:textId="31B545E7" w:rsidR="00282F54" w:rsidRPr="00760411" w:rsidRDefault="00282F54" w:rsidP="00282F54">
            <w:pPr>
              <w:jc w:val="right"/>
              <w:rPr>
                <w:color w:val="000000"/>
                <w:sz w:val="20"/>
                <w:szCs w:val="20"/>
              </w:rPr>
            </w:pPr>
            <w:r w:rsidRPr="00760411">
              <w:rPr>
                <w:color w:val="000000"/>
                <w:sz w:val="20"/>
                <w:szCs w:val="20"/>
              </w:rPr>
              <w:t>2</w:t>
            </w:r>
            <w:r w:rsidR="003C7461" w:rsidRPr="00760411">
              <w:rPr>
                <w:color w:val="000000"/>
                <w:sz w:val="20"/>
                <w:szCs w:val="20"/>
              </w:rPr>
              <w:t>5,164</w:t>
            </w:r>
          </w:p>
        </w:tc>
        <w:tc>
          <w:tcPr>
            <w:tcW w:w="175" w:type="pct"/>
            <w:tcBorders>
              <w:top w:val="nil"/>
              <w:left w:val="nil"/>
              <w:bottom w:val="nil"/>
              <w:right w:val="nil"/>
            </w:tcBorders>
            <w:shd w:val="clear" w:color="auto" w:fill="auto"/>
            <w:noWrap/>
            <w:vAlign w:val="center"/>
            <w:hideMark/>
          </w:tcPr>
          <w:p w14:paraId="607BB77B"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053AD3B6" w14:textId="77777777" w:rsidR="00282F54" w:rsidRPr="00760411" w:rsidRDefault="00282F54" w:rsidP="00282F54">
            <w:pPr>
              <w:jc w:val="right"/>
              <w:rPr>
                <w:color w:val="000000"/>
                <w:sz w:val="20"/>
                <w:szCs w:val="20"/>
              </w:rPr>
            </w:pPr>
            <w:r w:rsidRPr="00760411">
              <w:rPr>
                <w:color w:val="000000"/>
                <w:sz w:val="20"/>
                <w:szCs w:val="20"/>
              </w:rPr>
              <w:t>25,164</w:t>
            </w:r>
          </w:p>
        </w:tc>
      </w:tr>
      <w:tr w:rsidR="00282F54" w:rsidRPr="00760411" w14:paraId="785278C9" w14:textId="77777777" w:rsidTr="00835C5B">
        <w:trPr>
          <w:trHeight w:val="240"/>
        </w:trPr>
        <w:tc>
          <w:tcPr>
            <w:tcW w:w="2748" w:type="pct"/>
            <w:tcBorders>
              <w:top w:val="nil"/>
              <w:left w:val="nil"/>
              <w:bottom w:val="nil"/>
              <w:right w:val="nil"/>
            </w:tcBorders>
            <w:shd w:val="clear" w:color="auto" w:fill="auto"/>
            <w:vAlign w:val="center"/>
            <w:hideMark/>
          </w:tcPr>
          <w:p w14:paraId="5DB55777" w14:textId="77777777" w:rsidR="00282F54" w:rsidRPr="00760411" w:rsidRDefault="00282F54" w:rsidP="00282F54">
            <w:pPr>
              <w:ind w:firstLineChars="100" w:firstLine="200"/>
              <w:rPr>
                <w:color w:val="000000"/>
                <w:sz w:val="20"/>
                <w:szCs w:val="20"/>
              </w:rPr>
            </w:pPr>
            <w:r w:rsidRPr="00760411">
              <w:rPr>
                <w:color w:val="000000"/>
                <w:sz w:val="20"/>
                <w:szCs w:val="20"/>
              </w:rPr>
              <w:t>Unearned revenue</w:t>
            </w:r>
          </w:p>
        </w:tc>
        <w:tc>
          <w:tcPr>
            <w:tcW w:w="243" w:type="pct"/>
            <w:tcBorders>
              <w:top w:val="nil"/>
              <w:left w:val="nil"/>
              <w:bottom w:val="nil"/>
              <w:right w:val="nil"/>
            </w:tcBorders>
            <w:shd w:val="clear" w:color="auto" w:fill="auto"/>
            <w:vAlign w:val="center"/>
            <w:hideMark/>
          </w:tcPr>
          <w:p w14:paraId="10E96905"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656E90CC" w14:textId="497E056A" w:rsidR="00282F54" w:rsidRPr="00760411" w:rsidRDefault="003C7461" w:rsidP="00282F54">
            <w:pPr>
              <w:jc w:val="right"/>
              <w:rPr>
                <w:color w:val="000000"/>
                <w:sz w:val="20"/>
                <w:szCs w:val="20"/>
              </w:rPr>
            </w:pPr>
            <w:r w:rsidRPr="00760411">
              <w:rPr>
                <w:color w:val="000000"/>
                <w:sz w:val="20"/>
                <w:szCs w:val="20"/>
              </w:rPr>
              <w:t>25,910</w:t>
            </w:r>
          </w:p>
        </w:tc>
        <w:tc>
          <w:tcPr>
            <w:tcW w:w="175" w:type="pct"/>
            <w:tcBorders>
              <w:top w:val="nil"/>
              <w:left w:val="nil"/>
              <w:bottom w:val="nil"/>
              <w:right w:val="nil"/>
            </w:tcBorders>
            <w:shd w:val="clear" w:color="auto" w:fill="auto"/>
            <w:noWrap/>
            <w:vAlign w:val="center"/>
            <w:hideMark/>
          </w:tcPr>
          <w:p w14:paraId="5DB5D3D9"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238D21B2" w14:textId="77777777" w:rsidR="00282F54" w:rsidRPr="00760411" w:rsidRDefault="00282F54" w:rsidP="00282F54">
            <w:pPr>
              <w:jc w:val="right"/>
              <w:rPr>
                <w:color w:val="000000"/>
                <w:sz w:val="20"/>
                <w:szCs w:val="20"/>
              </w:rPr>
            </w:pPr>
            <w:r w:rsidRPr="00760411">
              <w:rPr>
                <w:color w:val="000000"/>
                <w:sz w:val="20"/>
                <w:szCs w:val="20"/>
              </w:rPr>
              <w:t>198,856</w:t>
            </w:r>
          </w:p>
        </w:tc>
      </w:tr>
      <w:tr w:rsidR="00282F54" w:rsidRPr="00760411" w14:paraId="5AC93120" w14:textId="77777777" w:rsidTr="00835C5B">
        <w:trPr>
          <w:trHeight w:val="240"/>
        </w:trPr>
        <w:tc>
          <w:tcPr>
            <w:tcW w:w="2748" w:type="pct"/>
            <w:tcBorders>
              <w:top w:val="nil"/>
              <w:left w:val="nil"/>
              <w:bottom w:val="nil"/>
              <w:right w:val="nil"/>
            </w:tcBorders>
            <w:shd w:val="clear" w:color="auto" w:fill="auto"/>
            <w:vAlign w:val="center"/>
            <w:hideMark/>
          </w:tcPr>
          <w:p w14:paraId="0EF0B008" w14:textId="7709B978" w:rsidR="00282F54" w:rsidRPr="00760411" w:rsidRDefault="00282F54" w:rsidP="00282F54">
            <w:pPr>
              <w:ind w:firstLineChars="100" w:firstLine="200"/>
              <w:rPr>
                <w:color w:val="000000"/>
                <w:sz w:val="20"/>
                <w:szCs w:val="20"/>
              </w:rPr>
            </w:pPr>
            <w:r w:rsidRPr="00760411">
              <w:rPr>
                <w:color w:val="000000"/>
                <w:sz w:val="20"/>
                <w:szCs w:val="20"/>
              </w:rPr>
              <w:t>Bonds payable – current (Note 1</w:t>
            </w:r>
            <w:r w:rsidR="00822DB4" w:rsidRPr="00760411">
              <w:rPr>
                <w:color w:val="000000"/>
                <w:sz w:val="20"/>
                <w:szCs w:val="20"/>
              </w:rPr>
              <w:t>2</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429DE3DF"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3E3BA7FF" w14:textId="0F02CA4D" w:rsidR="00282F54" w:rsidRPr="00760411" w:rsidRDefault="003C7461" w:rsidP="00282F54">
            <w:pPr>
              <w:jc w:val="right"/>
              <w:rPr>
                <w:color w:val="000000"/>
                <w:sz w:val="20"/>
                <w:szCs w:val="20"/>
              </w:rPr>
            </w:pPr>
            <w:r w:rsidRPr="00760411">
              <w:rPr>
                <w:color w:val="000000"/>
                <w:sz w:val="20"/>
                <w:szCs w:val="20"/>
              </w:rPr>
              <w:t>2,540,630</w:t>
            </w:r>
          </w:p>
        </w:tc>
        <w:tc>
          <w:tcPr>
            <w:tcW w:w="175" w:type="pct"/>
            <w:tcBorders>
              <w:top w:val="nil"/>
              <w:left w:val="nil"/>
              <w:bottom w:val="nil"/>
              <w:right w:val="nil"/>
            </w:tcBorders>
            <w:shd w:val="clear" w:color="auto" w:fill="auto"/>
            <w:noWrap/>
            <w:vAlign w:val="center"/>
            <w:hideMark/>
          </w:tcPr>
          <w:p w14:paraId="11A8AE24"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0F2D6004" w14:textId="77777777" w:rsidR="00282F54" w:rsidRPr="00760411" w:rsidRDefault="00282F54" w:rsidP="00282F54">
            <w:pPr>
              <w:jc w:val="right"/>
              <w:rPr>
                <w:color w:val="000000"/>
                <w:sz w:val="20"/>
                <w:szCs w:val="20"/>
              </w:rPr>
            </w:pPr>
            <w:r w:rsidRPr="00760411">
              <w:rPr>
                <w:color w:val="000000"/>
                <w:sz w:val="20"/>
                <w:szCs w:val="20"/>
              </w:rPr>
              <w:t>1,977,869</w:t>
            </w:r>
          </w:p>
        </w:tc>
      </w:tr>
      <w:tr w:rsidR="00282F54" w:rsidRPr="00760411" w14:paraId="5BBC8E3B"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736E70E3" w14:textId="3947BAE5" w:rsidR="00282F54" w:rsidRPr="00760411" w:rsidRDefault="00282F54" w:rsidP="00282F54">
            <w:pPr>
              <w:ind w:firstLineChars="100" w:firstLine="200"/>
              <w:rPr>
                <w:color w:val="000000"/>
                <w:sz w:val="20"/>
                <w:szCs w:val="20"/>
              </w:rPr>
            </w:pPr>
            <w:r w:rsidRPr="00760411">
              <w:rPr>
                <w:color w:val="000000"/>
                <w:sz w:val="20"/>
                <w:szCs w:val="20"/>
              </w:rPr>
              <w:t>Lease liabilities (Note 1</w:t>
            </w:r>
            <w:r w:rsidR="00822DB4" w:rsidRPr="00760411">
              <w:rPr>
                <w:color w:val="000000"/>
                <w:sz w:val="20"/>
                <w:szCs w:val="20"/>
              </w:rPr>
              <w:t>3</w:t>
            </w:r>
            <w:r w:rsidRPr="00760411">
              <w:rPr>
                <w:color w:val="000000"/>
                <w:sz w:val="20"/>
                <w:szCs w:val="20"/>
              </w:rPr>
              <w:t>)</w:t>
            </w:r>
          </w:p>
        </w:tc>
        <w:tc>
          <w:tcPr>
            <w:tcW w:w="243" w:type="pct"/>
            <w:tcBorders>
              <w:top w:val="nil"/>
              <w:left w:val="nil"/>
              <w:bottom w:val="single" w:sz="4" w:space="0" w:color="auto"/>
              <w:right w:val="nil"/>
            </w:tcBorders>
            <w:shd w:val="clear" w:color="auto" w:fill="auto"/>
            <w:vAlign w:val="center"/>
            <w:hideMark/>
          </w:tcPr>
          <w:p w14:paraId="6EEDB39E" w14:textId="77777777" w:rsidR="00282F54" w:rsidRPr="00760411" w:rsidRDefault="00282F54" w:rsidP="00282F54">
            <w:pPr>
              <w:ind w:firstLineChars="100" w:firstLine="200"/>
              <w:rPr>
                <w:color w:val="000000"/>
                <w:sz w:val="20"/>
                <w:szCs w:val="20"/>
              </w:rPr>
            </w:pPr>
            <w:r w:rsidRPr="00760411">
              <w:rPr>
                <w:color w:val="000000"/>
                <w:sz w:val="20"/>
                <w:szCs w:val="20"/>
              </w:rPr>
              <w:t> </w:t>
            </w:r>
          </w:p>
        </w:tc>
        <w:tc>
          <w:tcPr>
            <w:tcW w:w="917" w:type="pct"/>
            <w:tcBorders>
              <w:top w:val="nil"/>
              <w:left w:val="nil"/>
              <w:bottom w:val="single" w:sz="4" w:space="0" w:color="auto"/>
              <w:right w:val="nil"/>
            </w:tcBorders>
            <w:shd w:val="clear" w:color="auto" w:fill="auto"/>
            <w:noWrap/>
            <w:vAlign w:val="center"/>
            <w:hideMark/>
          </w:tcPr>
          <w:p w14:paraId="301097AE" w14:textId="3C61E908" w:rsidR="00282F54" w:rsidRPr="00760411" w:rsidRDefault="00282F54" w:rsidP="00282F54">
            <w:pPr>
              <w:jc w:val="right"/>
              <w:rPr>
                <w:color w:val="000000"/>
                <w:sz w:val="20"/>
                <w:szCs w:val="20"/>
              </w:rPr>
            </w:pPr>
            <w:r w:rsidRPr="00760411">
              <w:rPr>
                <w:color w:val="000000"/>
                <w:sz w:val="20"/>
                <w:szCs w:val="20"/>
              </w:rPr>
              <w:t>1</w:t>
            </w:r>
            <w:r w:rsidR="003C7461" w:rsidRPr="00760411">
              <w:rPr>
                <w:color w:val="000000"/>
                <w:sz w:val="20"/>
                <w:szCs w:val="20"/>
              </w:rPr>
              <w:t>78,260</w:t>
            </w:r>
          </w:p>
        </w:tc>
        <w:tc>
          <w:tcPr>
            <w:tcW w:w="175" w:type="pct"/>
            <w:tcBorders>
              <w:top w:val="nil"/>
              <w:left w:val="nil"/>
              <w:bottom w:val="single" w:sz="4" w:space="0" w:color="auto"/>
              <w:right w:val="nil"/>
            </w:tcBorders>
            <w:shd w:val="clear" w:color="auto" w:fill="auto"/>
            <w:noWrap/>
            <w:vAlign w:val="center"/>
            <w:hideMark/>
          </w:tcPr>
          <w:p w14:paraId="0797BB9E"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single" w:sz="4" w:space="0" w:color="auto"/>
              <w:right w:val="nil"/>
            </w:tcBorders>
            <w:shd w:val="clear" w:color="auto" w:fill="auto"/>
            <w:noWrap/>
            <w:vAlign w:val="center"/>
            <w:hideMark/>
          </w:tcPr>
          <w:p w14:paraId="630541DC" w14:textId="77777777" w:rsidR="00282F54" w:rsidRPr="00760411" w:rsidRDefault="00282F54" w:rsidP="00282F54">
            <w:pPr>
              <w:jc w:val="right"/>
              <w:rPr>
                <w:color w:val="000000"/>
                <w:sz w:val="20"/>
                <w:szCs w:val="20"/>
              </w:rPr>
            </w:pPr>
            <w:r w:rsidRPr="00760411">
              <w:rPr>
                <w:color w:val="000000"/>
                <w:sz w:val="20"/>
                <w:szCs w:val="20"/>
              </w:rPr>
              <w:t>177,271</w:t>
            </w:r>
          </w:p>
        </w:tc>
      </w:tr>
      <w:tr w:rsidR="00282F54" w:rsidRPr="00760411" w14:paraId="1BDEDA5E" w14:textId="77777777" w:rsidTr="00835C5B">
        <w:trPr>
          <w:trHeight w:val="240"/>
        </w:trPr>
        <w:tc>
          <w:tcPr>
            <w:tcW w:w="2748" w:type="pct"/>
            <w:tcBorders>
              <w:top w:val="nil"/>
              <w:left w:val="nil"/>
              <w:bottom w:val="nil"/>
              <w:right w:val="nil"/>
            </w:tcBorders>
            <w:shd w:val="clear" w:color="auto" w:fill="auto"/>
            <w:vAlign w:val="center"/>
            <w:hideMark/>
          </w:tcPr>
          <w:p w14:paraId="6BA94A31"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5890350F"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2F5052A6" w14:textId="5512F48F" w:rsidR="00282F54" w:rsidRPr="00760411" w:rsidRDefault="003C7461" w:rsidP="00282F54">
            <w:pPr>
              <w:jc w:val="right"/>
              <w:rPr>
                <w:color w:val="000000"/>
                <w:sz w:val="20"/>
                <w:szCs w:val="20"/>
              </w:rPr>
            </w:pPr>
            <w:r w:rsidRPr="00760411">
              <w:rPr>
                <w:color w:val="000000"/>
                <w:sz w:val="20"/>
                <w:szCs w:val="20"/>
              </w:rPr>
              <w:t>4,</w:t>
            </w:r>
            <w:r w:rsidR="007D162B">
              <w:rPr>
                <w:color w:val="000000"/>
                <w:sz w:val="20"/>
                <w:szCs w:val="20"/>
              </w:rPr>
              <w:t>713,081</w:t>
            </w:r>
          </w:p>
        </w:tc>
        <w:tc>
          <w:tcPr>
            <w:tcW w:w="175" w:type="pct"/>
            <w:tcBorders>
              <w:top w:val="nil"/>
              <w:left w:val="nil"/>
              <w:bottom w:val="nil"/>
              <w:right w:val="nil"/>
            </w:tcBorders>
            <w:shd w:val="clear" w:color="auto" w:fill="auto"/>
            <w:noWrap/>
            <w:vAlign w:val="center"/>
            <w:hideMark/>
          </w:tcPr>
          <w:p w14:paraId="377F67BF"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2DBBE221" w14:textId="77777777" w:rsidR="00282F54" w:rsidRPr="00760411" w:rsidRDefault="00282F54" w:rsidP="00282F54">
            <w:pPr>
              <w:jc w:val="right"/>
              <w:rPr>
                <w:color w:val="000000"/>
                <w:sz w:val="20"/>
                <w:szCs w:val="20"/>
              </w:rPr>
            </w:pPr>
            <w:r w:rsidRPr="00760411">
              <w:rPr>
                <w:color w:val="000000"/>
                <w:sz w:val="20"/>
                <w:szCs w:val="20"/>
              </w:rPr>
              <w:t>3,367,614</w:t>
            </w:r>
          </w:p>
        </w:tc>
      </w:tr>
      <w:tr w:rsidR="00282F54" w:rsidRPr="00760411" w14:paraId="35574C35" w14:textId="77777777" w:rsidTr="00835C5B">
        <w:trPr>
          <w:trHeight w:val="66"/>
        </w:trPr>
        <w:tc>
          <w:tcPr>
            <w:tcW w:w="2748" w:type="pct"/>
            <w:tcBorders>
              <w:top w:val="nil"/>
              <w:left w:val="nil"/>
              <w:bottom w:val="nil"/>
              <w:right w:val="nil"/>
            </w:tcBorders>
            <w:shd w:val="clear" w:color="auto" w:fill="auto"/>
            <w:vAlign w:val="center"/>
            <w:hideMark/>
          </w:tcPr>
          <w:p w14:paraId="4F6BFB79"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7C9B3B0D"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6A3569B7"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E258566"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207B4D75" w14:textId="77777777" w:rsidR="00282F54" w:rsidRPr="00760411" w:rsidRDefault="00282F54" w:rsidP="00282F54">
            <w:pPr>
              <w:jc w:val="right"/>
              <w:rPr>
                <w:sz w:val="20"/>
                <w:szCs w:val="20"/>
              </w:rPr>
            </w:pPr>
          </w:p>
        </w:tc>
      </w:tr>
      <w:tr w:rsidR="00282F54" w:rsidRPr="00760411" w14:paraId="553CE4A8" w14:textId="77777777" w:rsidTr="00835C5B">
        <w:trPr>
          <w:trHeight w:val="240"/>
        </w:trPr>
        <w:tc>
          <w:tcPr>
            <w:tcW w:w="2748" w:type="pct"/>
            <w:tcBorders>
              <w:top w:val="nil"/>
              <w:left w:val="nil"/>
              <w:bottom w:val="nil"/>
              <w:right w:val="nil"/>
            </w:tcBorders>
            <w:shd w:val="clear" w:color="auto" w:fill="auto"/>
            <w:vAlign w:val="center"/>
            <w:hideMark/>
          </w:tcPr>
          <w:p w14:paraId="71136AC3" w14:textId="2E9D546F" w:rsidR="00282F54" w:rsidRPr="00760411" w:rsidRDefault="00282F54" w:rsidP="00282F54">
            <w:pPr>
              <w:rPr>
                <w:b/>
                <w:bCs/>
                <w:color w:val="000000"/>
                <w:sz w:val="20"/>
                <w:szCs w:val="20"/>
              </w:rPr>
            </w:pPr>
            <w:r w:rsidRPr="00760411">
              <w:rPr>
                <w:b/>
                <w:bCs/>
                <w:color w:val="000000"/>
                <w:sz w:val="20"/>
                <w:szCs w:val="20"/>
              </w:rPr>
              <w:t>Loans payable</w:t>
            </w:r>
            <w:r w:rsidRPr="00760411">
              <w:rPr>
                <w:color w:val="000000"/>
                <w:sz w:val="20"/>
                <w:szCs w:val="20"/>
              </w:rPr>
              <w:t xml:space="preserve"> (Notes </w:t>
            </w:r>
            <w:r w:rsidR="003004FA" w:rsidRPr="00760411">
              <w:rPr>
                <w:color w:val="000000"/>
                <w:sz w:val="20"/>
                <w:szCs w:val="20"/>
              </w:rPr>
              <w:t>5</w:t>
            </w:r>
            <w:r w:rsidRPr="00760411">
              <w:rPr>
                <w:color w:val="000000"/>
                <w:sz w:val="20"/>
                <w:szCs w:val="20"/>
              </w:rPr>
              <w:t xml:space="preserve"> and 1</w:t>
            </w:r>
            <w:r w:rsidR="00822DB4" w:rsidRPr="00760411">
              <w:rPr>
                <w:color w:val="000000"/>
                <w:sz w:val="20"/>
                <w:szCs w:val="20"/>
              </w:rPr>
              <w:t>1</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10F3AF0F"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6F8F7B6F" w14:textId="35EDB3E4" w:rsidR="00282F54" w:rsidRPr="00760411" w:rsidRDefault="003C7461" w:rsidP="00282F54">
            <w:pPr>
              <w:jc w:val="right"/>
              <w:rPr>
                <w:color w:val="000000"/>
                <w:sz w:val="20"/>
                <w:szCs w:val="20"/>
              </w:rPr>
            </w:pPr>
            <w:r w:rsidRPr="00760411">
              <w:rPr>
                <w:color w:val="000000"/>
                <w:sz w:val="20"/>
                <w:szCs w:val="20"/>
              </w:rPr>
              <w:t>102,957</w:t>
            </w:r>
          </w:p>
        </w:tc>
        <w:tc>
          <w:tcPr>
            <w:tcW w:w="175" w:type="pct"/>
            <w:tcBorders>
              <w:top w:val="nil"/>
              <w:left w:val="nil"/>
              <w:bottom w:val="nil"/>
              <w:right w:val="nil"/>
            </w:tcBorders>
            <w:shd w:val="clear" w:color="auto" w:fill="auto"/>
            <w:noWrap/>
            <w:vAlign w:val="center"/>
            <w:hideMark/>
          </w:tcPr>
          <w:p w14:paraId="6E7F38DF"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21B5C46A" w14:textId="77777777" w:rsidR="00282F54" w:rsidRPr="00760411" w:rsidRDefault="00282F54" w:rsidP="00282F54">
            <w:pPr>
              <w:jc w:val="right"/>
              <w:rPr>
                <w:color w:val="000000"/>
                <w:sz w:val="20"/>
                <w:szCs w:val="20"/>
              </w:rPr>
            </w:pPr>
            <w:r w:rsidRPr="00760411">
              <w:rPr>
                <w:color w:val="000000"/>
                <w:sz w:val="20"/>
                <w:szCs w:val="20"/>
              </w:rPr>
              <w:t>85,539</w:t>
            </w:r>
          </w:p>
        </w:tc>
      </w:tr>
      <w:tr w:rsidR="00282F54" w:rsidRPr="00760411" w14:paraId="4BA6B8D7" w14:textId="77777777" w:rsidTr="00835C5B">
        <w:trPr>
          <w:trHeight w:val="240"/>
        </w:trPr>
        <w:tc>
          <w:tcPr>
            <w:tcW w:w="2748" w:type="pct"/>
            <w:tcBorders>
              <w:top w:val="nil"/>
              <w:left w:val="nil"/>
              <w:bottom w:val="nil"/>
              <w:right w:val="nil"/>
            </w:tcBorders>
            <w:shd w:val="clear" w:color="auto" w:fill="auto"/>
            <w:vAlign w:val="center"/>
            <w:hideMark/>
          </w:tcPr>
          <w:p w14:paraId="1C1CEC2E" w14:textId="3FE79203" w:rsidR="00282F54" w:rsidRPr="00760411" w:rsidRDefault="00282F54" w:rsidP="00282F54">
            <w:pPr>
              <w:rPr>
                <w:b/>
                <w:bCs/>
                <w:color w:val="000000"/>
                <w:sz w:val="20"/>
                <w:szCs w:val="20"/>
              </w:rPr>
            </w:pPr>
            <w:r w:rsidRPr="00760411">
              <w:rPr>
                <w:b/>
                <w:bCs/>
                <w:color w:val="000000"/>
                <w:sz w:val="20"/>
                <w:szCs w:val="20"/>
              </w:rPr>
              <w:t>Bonds payable</w:t>
            </w:r>
            <w:r w:rsidRPr="00760411">
              <w:rPr>
                <w:color w:val="000000"/>
                <w:sz w:val="20"/>
                <w:szCs w:val="20"/>
              </w:rPr>
              <w:t xml:space="preserve"> (Note 1</w:t>
            </w:r>
            <w:r w:rsidR="00822DB4" w:rsidRPr="00760411">
              <w:rPr>
                <w:color w:val="000000"/>
                <w:sz w:val="20"/>
                <w:szCs w:val="20"/>
              </w:rPr>
              <w:t>2</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1C9D70D0"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5EFD95B5" w14:textId="5E3580B6" w:rsidR="00282F54" w:rsidRPr="00760411" w:rsidRDefault="003C7461" w:rsidP="00282F54">
            <w:pPr>
              <w:jc w:val="right"/>
              <w:rPr>
                <w:color w:val="000000"/>
                <w:sz w:val="20"/>
                <w:szCs w:val="20"/>
              </w:rPr>
            </w:pPr>
            <w:r w:rsidRPr="00760411">
              <w:rPr>
                <w:color w:val="000000"/>
                <w:sz w:val="20"/>
                <w:szCs w:val="20"/>
              </w:rPr>
              <w:t>2,605,162</w:t>
            </w:r>
          </w:p>
        </w:tc>
        <w:tc>
          <w:tcPr>
            <w:tcW w:w="175" w:type="pct"/>
            <w:tcBorders>
              <w:top w:val="nil"/>
              <w:left w:val="nil"/>
              <w:bottom w:val="nil"/>
              <w:right w:val="nil"/>
            </w:tcBorders>
            <w:shd w:val="clear" w:color="auto" w:fill="auto"/>
            <w:noWrap/>
            <w:vAlign w:val="center"/>
            <w:hideMark/>
          </w:tcPr>
          <w:p w14:paraId="416518CB"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5E750DFE" w14:textId="77777777" w:rsidR="00282F54" w:rsidRPr="00760411" w:rsidRDefault="00282F54" w:rsidP="00282F54">
            <w:pPr>
              <w:jc w:val="right"/>
              <w:rPr>
                <w:color w:val="000000"/>
                <w:sz w:val="20"/>
                <w:szCs w:val="20"/>
              </w:rPr>
            </w:pPr>
            <w:r w:rsidRPr="00760411">
              <w:rPr>
                <w:color w:val="000000"/>
                <w:sz w:val="20"/>
                <w:szCs w:val="20"/>
              </w:rPr>
              <w:t>3,183,489</w:t>
            </w:r>
          </w:p>
        </w:tc>
      </w:tr>
      <w:tr w:rsidR="00282F54" w:rsidRPr="00760411" w14:paraId="17C006A7"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560DFBB4" w14:textId="7705FB5E" w:rsidR="00282F54" w:rsidRPr="00760411" w:rsidRDefault="00282F54" w:rsidP="00282F54">
            <w:pPr>
              <w:rPr>
                <w:b/>
                <w:bCs/>
                <w:color w:val="000000"/>
                <w:sz w:val="20"/>
                <w:szCs w:val="20"/>
              </w:rPr>
            </w:pPr>
            <w:r w:rsidRPr="00760411">
              <w:rPr>
                <w:b/>
                <w:bCs/>
                <w:color w:val="000000"/>
                <w:sz w:val="20"/>
                <w:szCs w:val="20"/>
              </w:rPr>
              <w:t>Lease liabilities</w:t>
            </w:r>
            <w:r w:rsidRPr="00760411">
              <w:rPr>
                <w:color w:val="000000"/>
                <w:sz w:val="20"/>
                <w:szCs w:val="20"/>
              </w:rPr>
              <w:t xml:space="preserve"> (Note 1</w:t>
            </w:r>
            <w:r w:rsidR="00822DB4" w:rsidRPr="00760411">
              <w:rPr>
                <w:color w:val="000000"/>
                <w:sz w:val="20"/>
                <w:szCs w:val="20"/>
              </w:rPr>
              <w:t>3</w:t>
            </w:r>
            <w:r w:rsidRPr="00760411">
              <w:rPr>
                <w:color w:val="000000"/>
                <w:sz w:val="20"/>
                <w:szCs w:val="20"/>
              </w:rPr>
              <w:t>)</w:t>
            </w:r>
          </w:p>
        </w:tc>
        <w:tc>
          <w:tcPr>
            <w:tcW w:w="243" w:type="pct"/>
            <w:tcBorders>
              <w:top w:val="nil"/>
              <w:left w:val="nil"/>
              <w:bottom w:val="single" w:sz="4" w:space="0" w:color="auto"/>
              <w:right w:val="nil"/>
            </w:tcBorders>
            <w:shd w:val="clear" w:color="auto" w:fill="auto"/>
            <w:vAlign w:val="center"/>
            <w:hideMark/>
          </w:tcPr>
          <w:p w14:paraId="717DFBEF"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bottom w:val="single" w:sz="4" w:space="0" w:color="auto"/>
              <w:right w:val="nil"/>
            </w:tcBorders>
            <w:shd w:val="clear" w:color="auto" w:fill="auto"/>
            <w:noWrap/>
            <w:vAlign w:val="center"/>
            <w:hideMark/>
          </w:tcPr>
          <w:p w14:paraId="0936EDF9" w14:textId="3237C4B3" w:rsidR="00282F54" w:rsidRPr="00760411" w:rsidRDefault="003C7461" w:rsidP="00282F54">
            <w:pPr>
              <w:jc w:val="right"/>
              <w:rPr>
                <w:color w:val="000000"/>
                <w:sz w:val="20"/>
                <w:szCs w:val="20"/>
              </w:rPr>
            </w:pPr>
            <w:r w:rsidRPr="00760411">
              <w:rPr>
                <w:color w:val="000000"/>
                <w:sz w:val="20"/>
                <w:szCs w:val="20"/>
              </w:rPr>
              <w:t>31,474</w:t>
            </w:r>
          </w:p>
        </w:tc>
        <w:tc>
          <w:tcPr>
            <w:tcW w:w="175" w:type="pct"/>
            <w:tcBorders>
              <w:top w:val="nil"/>
              <w:left w:val="nil"/>
              <w:bottom w:val="single" w:sz="4" w:space="0" w:color="auto"/>
              <w:right w:val="nil"/>
            </w:tcBorders>
            <w:shd w:val="clear" w:color="auto" w:fill="auto"/>
            <w:noWrap/>
            <w:vAlign w:val="center"/>
            <w:hideMark/>
          </w:tcPr>
          <w:p w14:paraId="1B541D89"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single" w:sz="4" w:space="0" w:color="auto"/>
              <w:right w:val="nil"/>
            </w:tcBorders>
            <w:shd w:val="clear" w:color="auto" w:fill="auto"/>
            <w:noWrap/>
            <w:vAlign w:val="center"/>
            <w:hideMark/>
          </w:tcPr>
          <w:p w14:paraId="04FDCD77" w14:textId="77777777" w:rsidR="00282F54" w:rsidRPr="00760411" w:rsidRDefault="00282F54" w:rsidP="00282F54">
            <w:pPr>
              <w:jc w:val="right"/>
              <w:rPr>
                <w:color w:val="000000"/>
                <w:sz w:val="20"/>
                <w:szCs w:val="20"/>
              </w:rPr>
            </w:pPr>
            <w:r w:rsidRPr="00760411">
              <w:rPr>
                <w:color w:val="000000"/>
                <w:sz w:val="20"/>
                <w:szCs w:val="20"/>
              </w:rPr>
              <w:t>123,172</w:t>
            </w:r>
          </w:p>
        </w:tc>
      </w:tr>
      <w:tr w:rsidR="00282F54" w:rsidRPr="00760411" w14:paraId="35E5A0E6" w14:textId="77777777" w:rsidTr="00835C5B">
        <w:trPr>
          <w:trHeight w:val="168"/>
        </w:trPr>
        <w:tc>
          <w:tcPr>
            <w:tcW w:w="2748" w:type="pct"/>
            <w:tcBorders>
              <w:top w:val="nil"/>
              <w:left w:val="nil"/>
              <w:bottom w:val="nil"/>
              <w:right w:val="nil"/>
            </w:tcBorders>
            <w:shd w:val="clear" w:color="auto" w:fill="auto"/>
            <w:vAlign w:val="center"/>
            <w:hideMark/>
          </w:tcPr>
          <w:p w14:paraId="3CCC05E4"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7A0AD1C5"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0C1E5985"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035D0CFA"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23C77524" w14:textId="77777777" w:rsidR="00282F54" w:rsidRPr="00760411" w:rsidRDefault="00282F54" w:rsidP="00282F54">
            <w:pPr>
              <w:jc w:val="right"/>
              <w:rPr>
                <w:sz w:val="20"/>
                <w:szCs w:val="20"/>
              </w:rPr>
            </w:pPr>
          </w:p>
        </w:tc>
      </w:tr>
      <w:tr w:rsidR="00282F54" w:rsidRPr="00760411" w14:paraId="08B9F641"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455A6195" w14:textId="77777777" w:rsidR="00282F54" w:rsidRPr="00760411" w:rsidRDefault="00282F54" w:rsidP="00282F54">
            <w:pPr>
              <w:rPr>
                <w:b/>
                <w:bCs/>
                <w:color w:val="000000"/>
                <w:sz w:val="20"/>
                <w:szCs w:val="20"/>
              </w:rPr>
            </w:pPr>
            <w:r w:rsidRPr="00760411">
              <w:rPr>
                <w:b/>
                <w:bCs/>
                <w:color w:val="000000"/>
                <w:sz w:val="20"/>
                <w:szCs w:val="20"/>
              </w:rPr>
              <w:t>Total liabilities</w:t>
            </w:r>
          </w:p>
        </w:tc>
        <w:tc>
          <w:tcPr>
            <w:tcW w:w="243" w:type="pct"/>
            <w:tcBorders>
              <w:top w:val="nil"/>
              <w:left w:val="nil"/>
              <w:bottom w:val="single" w:sz="4" w:space="0" w:color="auto"/>
              <w:right w:val="nil"/>
            </w:tcBorders>
            <w:shd w:val="clear" w:color="auto" w:fill="auto"/>
            <w:vAlign w:val="center"/>
            <w:hideMark/>
          </w:tcPr>
          <w:p w14:paraId="375E7CA7"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bottom w:val="single" w:sz="4" w:space="0" w:color="auto"/>
              <w:right w:val="nil"/>
            </w:tcBorders>
            <w:shd w:val="clear" w:color="auto" w:fill="auto"/>
            <w:noWrap/>
            <w:vAlign w:val="center"/>
            <w:hideMark/>
          </w:tcPr>
          <w:p w14:paraId="3EE0DF3F" w14:textId="533CFD3F" w:rsidR="00282F54" w:rsidRPr="00760411" w:rsidRDefault="003C7461" w:rsidP="00282F54">
            <w:pPr>
              <w:jc w:val="right"/>
              <w:rPr>
                <w:color w:val="000000"/>
                <w:sz w:val="20"/>
                <w:szCs w:val="20"/>
              </w:rPr>
            </w:pPr>
            <w:r w:rsidRPr="00760411">
              <w:rPr>
                <w:color w:val="000000"/>
                <w:sz w:val="20"/>
                <w:szCs w:val="20"/>
              </w:rPr>
              <w:t>7,</w:t>
            </w:r>
            <w:r w:rsidR="007D162B">
              <w:rPr>
                <w:color w:val="000000"/>
                <w:sz w:val="20"/>
                <w:szCs w:val="20"/>
              </w:rPr>
              <w:t>452,674</w:t>
            </w:r>
          </w:p>
        </w:tc>
        <w:tc>
          <w:tcPr>
            <w:tcW w:w="175" w:type="pct"/>
            <w:tcBorders>
              <w:top w:val="nil"/>
              <w:left w:val="nil"/>
              <w:bottom w:val="single" w:sz="4" w:space="0" w:color="auto"/>
              <w:right w:val="nil"/>
            </w:tcBorders>
            <w:shd w:val="clear" w:color="auto" w:fill="auto"/>
            <w:noWrap/>
            <w:vAlign w:val="center"/>
            <w:hideMark/>
          </w:tcPr>
          <w:p w14:paraId="53E13FCA"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single" w:sz="4" w:space="0" w:color="auto"/>
              <w:right w:val="nil"/>
            </w:tcBorders>
            <w:shd w:val="clear" w:color="auto" w:fill="auto"/>
            <w:noWrap/>
            <w:vAlign w:val="center"/>
            <w:hideMark/>
          </w:tcPr>
          <w:p w14:paraId="0359024D" w14:textId="77777777" w:rsidR="00282F54" w:rsidRPr="00760411" w:rsidRDefault="00282F54" w:rsidP="00282F54">
            <w:pPr>
              <w:jc w:val="right"/>
              <w:rPr>
                <w:color w:val="000000"/>
                <w:sz w:val="20"/>
                <w:szCs w:val="20"/>
              </w:rPr>
            </w:pPr>
            <w:r w:rsidRPr="00760411">
              <w:rPr>
                <w:color w:val="000000"/>
                <w:sz w:val="20"/>
                <w:szCs w:val="20"/>
              </w:rPr>
              <w:t>6,759,814</w:t>
            </w:r>
          </w:p>
        </w:tc>
      </w:tr>
      <w:tr w:rsidR="00282F54" w:rsidRPr="00760411" w14:paraId="207F7FE1" w14:textId="77777777" w:rsidTr="00835C5B">
        <w:trPr>
          <w:trHeight w:val="168"/>
        </w:trPr>
        <w:tc>
          <w:tcPr>
            <w:tcW w:w="2748" w:type="pct"/>
            <w:tcBorders>
              <w:top w:val="nil"/>
              <w:left w:val="nil"/>
              <w:bottom w:val="nil"/>
              <w:right w:val="nil"/>
            </w:tcBorders>
            <w:shd w:val="clear" w:color="auto" w:fill="auto"/>
            <w:vAlign w:val="center"/>
            <w:hideMark/>
          </w:tcPr>
          <w:p w14:paraId="6128CA84" w14:textId="77777777" w:rsidR="00282F54" w:rsidRPr="00760411" w:rsidRDefault="00282F54" w:rsidP="00282F54">
            <w:pPr>
              <w:jc w:val="right"/>
              <w:rPr>
                <w:color w:val="000000"/>
                <w:sz w:val="20"/>
                <w:szCs w:val="20"/>
                <w:highlight w:val="yellow"/>
              </w:rPr>
            </w:pPr>
          </w:p>
        </w:tc>
        <w:tc>
          <w:tcPr>
            <w:tcW w:w="243" w:type="pct"/>
            <w:tcBorders>
              <w:top w:val="nil"/>
              <w:left w:val="nil"/>
              <w:bottom w:val="nil"/>
              <w:right w:val="nil"/>
            </w:tcBorders>
            <w:shd w:val="clear" w:color="auto" w:fill="auto"/>
            <w:vAlign w:val="center"/>
            <w:hideMark/>
          </w:tcPr>
          <w:p w14:paraId="74EE1EEA"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6E24E599"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88922AF"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6004500A" w14:textId="77777777" w:rsidR="00282F54" w:rsidRPr="00760411" w:rsidRDefault="00282F54" w:rsidP="00282F54">
            <w:pPr>
              <w:jc w:val="right"/>
              <w:rPr>
                <w:sz w:val="20"/>
                <w:szCs w:val="20"/>
              </w:rPr>
            </w:pPr>
          </w:p>
        </w:tc>
      </w:tr>
      <w:tr w:rsidR="00282F54" w:rsidRPr="00760411" w14:paraId="5715D30F" w14:textId="77777777" w:rsidTr="00835C5B">
        <w:trPr>
          <w:trHeight w:val="240"/>
        </w:trPr>
        <w:tc>
          <w:tcPr>
            <w:tcW w:w="2748" w:type="pct"/>
            <w:tcBorders>
              <w:top w:val="nil"/>
              <w:left w:val="nil"/>
              <w:bottom w:val="nil"/>
              <w:right w:val="nil"/>
            </w:tcBorders>
            <w:shd w:val="clear" w:color="auto" w:fill="auto"/>
            <w:vAlign w:val="center"/>
            <w:hideMark/>
          </w:tcPr>
          <w:p w14:paraId="565991F6" w14:textId="77777777" w:rsidR="00282F54" w:rsidRPr="00760411" w:rsidRDefault="00282F54" w:rsidP="00282F54">
            <w:pPr>
              <w:rPr>
                <w:b/>
                <w:bCs/>
                <w:color w:val="000000"/>
                <w:sz w:val="20"/>
                <w:szCs w:val="20"/>
              </w:rPr>
            </w:pPr>
            <w:r w:rsidRPr="00760411">
              <w:rPr>
                <w:b/>
                <w:bCs/>
                <w:color w:val="000000"/>
                <w:sz w:val="20"/>
                <w:szCs w:val="20"/>
              </w:rPr>
              <w:t>Shareholders’ deficiency</w:t>
            </w:r>
          </w:p>
        </w:tc>
        <w:tc>
          <w:tcPr>
            <w:tcW w:w="243" w:type="pct"/>
            <w:tcBorders>
              <w:top w:val="nil"/>
              <w:left w:val="nil"/>
              <w:bottom w:val="nil"/>
              <w:right w:val="nil"/>
            </w:tcBorders>
            <w:shd w:val="clear" w:color="auto" w:fill="auto"/>
            <w:vAlign w:val="center"/>
            <w:hideMark/>
          </w:tcPr>
          <w:p w14:paraId="45415F30"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noWrap/>
            <w:vAlign w:val="center"/>
            <w:hideMark/>
          </w:tcPr>
          <w:p w14:paraId="77ED7F96"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6D44A4CF"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7D739B32" w14:textId="77777777" w:rsidR="00282F54" w:rsidRPr="00760411" w:rsidRDefault="00282F54" w:rsidP="00282F54">
            <w:pPr>
              <w:jc w:val="right"/>
              <w:rPr>
                <w:sz w:val="20"/>
                <w:szCs w:val="20"/>
              </w:rPr>
            </w:pPr>
          </w:p>
        </w:tc>
      </w:tr>
      <w:tr w:rsidR="00282F54" w:rsidRPr="00760411" w14:paraId="56CE657A" w14:textId="77777777" w:rsidTr="00835C5B">
        <w:trPr>
          <w:trHeight w:val="240"/>
        </w:trPr>
        <w:tc>
          <w:tcPr>
            <w:tcW w:w="2748" w:type="pct"/>
            <w:tcBorders>
              <w:top w:val="nil"/>
              <w:left w:val="nil"/>
              <w:bottom w:val="nil"/>
              <w:right w:val="nil"/>
            </w:tcBorders>
            <w:shd w:val="clear" w:color="auto" w:fill="auto"/>
            <w:vAlign w:val="center"/>
            <w:hideMark/>
          </w:tcPr>
          <w:p w14:paraId="7B4ED710" w14:textId="74830C62" w:rsidR="00282F54" w:rsidRPr="00760411" w:rsidRDefault="00282F54" w:rsidP="00282F54">
            <w:pPr>
              <w:ind w:firstLineChars="100" w:firstLine="200"/>
              <w:rPr>
                <w:color w:val="000000"/>
                <w:sz w:val="20"/>
                <w:szCs w:val="20"/>
              </w:rPr>
            </w:pPr>
            <w:r w:rsidRPr="00760411">
              <w:rPr>
                <w:color w:val="000000"/>
                <w:sz w:val="20"/>
                <w:szCs w:val="20"/>
              </w:rPr>
              <w:t>Share capital (Note 1</w:t>
            </w:r>
            <w:r w:rsidR="00822DB4" w:rsidRPr="00760411">
              <w:rPr>
                <w:color w:val="000000"/>
                <w:sz w:val="20"/>
                <w:szCs w:val="20"/>
              </w:rPr>
              <w:t>4)</w:t>
            </w:r>
          </w:p>
        </w:tc>
        <w:tc>
          <w:tcPr>
            <w:tcW w:w="243" w:type="pct"/>
            <w:tcBorders>
              <w:top w:val="nil"/>
              <w:left w:val="nil"/>
              <w:bottom w:val="nil"/>
              <w:right w:val="nil"/>
            </w:tcBorders>
            <w:shd w:val="clear" w:color="auto" w:fill="auto"/>
            <w:vAlign w:val="center"/>
            <w:hideMark/>
          </w:tcPr>
          <w:p w14:paraId="1A9D813E"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2773E7E3" w14:textId="65CC37EB" w:rsidR="00282F54" w:rsidRPr="00760411" w:rsidRDefault="003C7461" w:rsidP="00282F54">
            <w:pPr>
              <w:jc w:val="right"/>
              <w:rPr>
                <w:color w:val="000000"/>
                <w:sz w:val="20"/>
                <w:szCs w:val="20"/>
              </w:rPr>
            </w:pPr>
            <w:r w:rsidRPr="00760411">
              <w:rPr>
                <w:color w:val="000000"/>
                <w:sz w:val="20"/>
                <w:szCs w:val="20"/>
              </w:rPr>
              <w:t>10,</w:t>
            </w:r>
            <w:r w:rsidR="007D162B">
              <w:rPr>
                <w:color w:val="000000"/>
                <w:sz w:val="20"/>
                <w:szCs w:val="20"/>
              </w:rPr>
              <w:t>114,309</w:t>
            </w:r>
          </w:p>
        </w:tc>
        <w:tc>
          <w:tcPr>
            <w:tcW w:w="175" w:type="pct"/>
            <w:tcBorders>
              <w:top w:val="nil"/>
              <w:left w:val="nil"/>
              <w:bottom w:val="nil"/>
              <w:right w:val="nil"/>
            </w:tcBorders>
            <w:shd w:val="clear" w:color="auto" w:fill="auto"/>
            <w:noWrap/>
            <w:vAlign w:val="center"/>
            <w:hideMark/>
          </w:tcPr>
          <w:p w14:paraId="2493CA6E"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54C9A511" w14:textId="77777777" w:rsidR="00282F54" w:rsidRPr="00760411" w:rsidRDefault="00282F54" w:rsidP="00282F54">
            <w:pPr>
              <w:jc w:val="right"/>
              <w:rPr>
                <w:color w:val="000000"/>
                <w:sz w:val="20"/>
                <w:szCs w:val="20"/>
              </w:rPr>
            </w:pPr>
            <w:r w:rsidRPr="00760411">
              <w:rPr>
                <w:color w:val="000000"/>
                <w:sz w:val="20"/>
                <w:szCs w:val="20"/>
              </w:rPr>
              <w:t>8,480,151</w:t>
            </w:r>
          </w:p>
        </w:tc>
      </w:tr>
      <w:tr w:rsidR="00312FB5" w:rsidRPr="00760411" w14:paraId="7F0D70BC" w14:textId="77777777" w:rsidTr="00835C5B">
        <w:trPr>
          <w:trHeight w:val="240"/>
        </w:trPr>
        <w:tc>
          <w:tcPr>
            <w:tcW w:w="2748" w:type="pct"/>
            <w:tcBorders>
              <w:top w:val="nil"/>
              <w:left w:val="nil"/>
              <w:bottom w:val="nil"/>
              <w:right w:val="nil"/>
            </w:tcBorders>
            <w:shd w:val="clear" w:color="auto" w:fill="auto"/>
            <w:vAlign w:val="center"/>
            <w:hideMark/>
          </w:tcPr>
          <w:p w14:paraId="3B1CC108" w14:textId="3CDB27B1" w:rsidR="00312FB5" w:rsidRPr="00760411" w:rsidRDefault="00312FB5" w:rsidP="00BA2C24">
            <w:pPr>
              <w:ind w:firstLineChars="100" w:firstLine="200"/>
              <w:rPr>
                <w:color w:val="000000"/>
                <w:sz w:val="20"/>
                <w:szCs w:val="20"/>
              </w:rPr>
            </w:pPr>
            <w:r w:rsidRPr="00760411">
              <w:rPr>
                <w:color w:val="000000"/>
                <w:sz w:val="20"/>
                <w:szCs w:val="20"/>
              </w:rPr>
              <w:t>Shares issuable (Note 1</w:t>
            </w:r>
            <w:r w:rsidR="00822DB4" w:rsidRPr="00760411">
              <w:rPr>
                <w:color w:val="000000"/>
                <w:sz w:val="20"/>
                <w:szCs w:val="20"/>
              </w:rPr>
              <w:t>4</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59261BF5" w14:textId="77777777" w:rsidR="00312FB5" w:rsidRPr="00760411" w:rsidRDefault="00312FB5" w:rsidP="00BA2C2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260B6DDB" w14:textId="6794EFDA" w:rsidR="00312FB5" w:rsidRPr="00760411" w:rsidRDefault="00312FB5" w:rsidP="00BA2C24">
            <w:pPr>
              <w:jc w:val="right"/>
              <w:rPr>
                <w:color w:val="000000"/>
                <w:sz w:val="20"/>
                <w:szCs w:val="20"/>
              </w:rPr>
            </w:pPr>
            <w:r w:rsidRPr="00760411">
              <w:rPr>
                <w:color w:val="000000"/>
                <w:sz w:val="20"/>
                <w:szCs w:val="20"/>
              </w:rPr>
              <w:t>30,000</w:t>
            </w:r>
          </w:p>
        </w:tc>
        <w:tc>
          <w:tcPr>
            <w:tcW w:w="175" w:type="pct"/>
            <w:tcBorders>
              <w:top w:val="nil"/>
              <w:left w:val="nil"/>
              <w:bottom w:val="nil"/>
              <w:right w:val="nil"/>
            </w:tcBorders>
            <w:shd w:val="clear" w:color="auto" w:fill="auto"/>
            <w:noWrap/>
            <w:vAlign w:val="center"/>
            <w:hideMark/>
          </w:tcPr>
          <w:p w14:paraId="1F823AF5" w14:textId="77777777" w:rsidR="00312FB5" w:rsidRPr="00760411" w:rsidRDefault="00312FB5" w:rsidP="00BA2C2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621C9F05" w14:textId="4FC92FA1" w:rsidR="00312FB5" w:rsidRPr="00760411" w:rsidRDefault="00312FB5" w:rsidP="00BA2C24">
            <w:pPr>
              <w:jc w:val="right"/>
              <w:rPr>
                <w:color w:val="000000"/>
                <w:sz w:val="20"/>
                <w:szCs w:val="20"/>
              </w:rPr>
            </w:pPr>
            <w:r w:rsidRPr="00760411">
              <w:rPr>
                <w:color w:val="000000"/>
                <w:sz w:val="20"/>
                <w:szCs w:val="20"/>
              </w:rPr>
              <w:t>-</w:t>
            </w:r>
          </w:p>
        </w:tc>
      </w:tr>
      <w:tr w:rsidR="00282F54" w:rsidRPr="00760411" w14:paraId="41A8D68A" w14:textId="77777777" w:rsidTr="00835C5B">
        <w:trPr>
          <w:trHeight w:val="240"/>
        </w:trPr>
        <w:tc>
          <w:tcPr>
            <w:tcW w:w="2748" w:type="pct"/>
            <w:tcBorders>
              <w:top w:val="nil"/>
              <w:left w:val="nil"/>
              <w:bottom w:val="nil"/>
              <w:right w:val="nil"/>
            </w:tcBorders>
            <w:shd w:val="clear" w:color="auto" w:fill="auto"/>
            <w:vAlign w:val="center"/>
            <w:hideMark/>
          </w:tcPr>
          <w:p w14:paraId="65D53B18" w14:textId="010F81E1" w:rsidR="00282F54" w:rsidRPr="00760411" w:rsidRDefault="00282F54" w:rsidP="00282F54">
            <w:pPr>
              <w:ind w:firstLineChars="100" w:firstLine="200"/>
              <w:rPr>
                <w:color w:val="000000"/>
                <w:sz w:val="20"/>
                <w:szCs w:val="20"/>
              </w:rPr>
            </w:pPr>
            <w:r w:rsidRPr="00760411">
              <w:rPr>
                <w:color w:val="000000"/>
                <w:sz w:val="20"/>
                <w:szCs w:val="20"/>
              </w:rPr>
              <w:t xml:space="preserve">Equity component of convertible debentures (Note </w:t>
            </w:r>
            <w:r w:rsidR="00822DB4" w:rsidRPr="00760411">
              <w:rPr>
                <w:color w:val="000000"/>
                <w:sz w:val="20"/>
                <w:szCs w:val="20"/>
              </w:rPr>
              <w:t>10</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404902AD"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4BF88375" w14:textId="7FAE41A6" w:rsidR="00282F54" w:rsidRPr="00760411" w:rsidRDefault="00312FB5" w:rsidP="00282F54">
            <w:pPr>
              <w:jc w:val="right"/>
              <w:rPr>
                <w:color w:val="000000"/>
                <w:sz w:val="20"/>
                <w:szCs w:val="20"/>
              </w:rPr>
            </w:pPr>
            <w:r w:rsidRPr="00760411">
              <w:rPr>
                <w:color w:val="000000"/>
                <w:sz w:val="20"/>
                <w:szCs w:val="20"/>
              </w:rPr>
              <w:t>73,403</w:t>
            </w:r>
          </w:p>
        </w:tc>
        <w:tc>
          <w:tcPr>
            <w:tcW w:w="175" w:type="pct"/>
            <w:tcBorders>
              <w:top w:val="nil"/>
              <w:left w:val="nil"/>
              <w:bottom w:val="nil"/>
              <w:right w:val="nil"/>
            </w:tcBorders>
            <w:shd w:val="clear" w:color="auto" w:fill="auto"/>
            <w:noWrap/>
            <w:vAlign w:val="center"/>
            <w:hideMark/>
          </w:tcPr>
          <w:p w14:paraId="17D80CD4"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5670D504" w14:textId="77777777" w:rsidR="00282F54" w:rsidRPr="00760411" w:rsidRDefault="00282F54" w:rsidP="00282F54">
            <w:pPr>
              <w:jc w:val="right"/>
              <w:rPr>
                <w:color w:val="000000"/>
                <w:sz w:val="20"/>
                <w:szCs w:val="20"/>
              </w:rPr>
            </w:pPr>
            <w:r w:rsidRPr="00760411">
              <w:rPr>
                <w:color w:val="000000"/>
                <w:sz w:val="20"/>
                <w:szCs w:val="20"/>
              </w:rPr>
              <w:t>27,347</w:t>
            </w:r>
          </w:p>
        </w:tc>
      </w:tr>
      <w:tr w:rsidR="00282F54" w:rsidRPr="00760411" w14:paraId="3D323834" w14:textId="77777777" w:rsidTr="00835C5B">
        <w:trPr>
          <w:trHeight w:val="240"/>
        </w:trPr>
        <w:tc>
          <w:tcPr>
            <w:tcW w:w="2748" w:type="pct"/>
            <w:tcBorders>
              <w:top w:val="nil"/>
              <w:left w:val="nil"/>
              <w:bottom w:val="nil"/>
              <w:right w:val="nil"/>
            </w:tcBorders>
            <w:shd w:val="clear" w:color="auto" w:fill="auto"/>
            <w:vAlign w:val="center"/>
            <w:hideMark/>
          </w:tcPr>
          <w:p w14:paraId="053B4F0B" w14:textId="65B0327A" w:rsidR="00282F54" w:rsidRPr="00760411" w:rsidRDefault="00282F54" w:rsidP="00282F54">
            <w:pPr>
              <w:ind w:firstLineChars="100" w:firstLine="200"/>
              <w:rPr>
                <w:color w:val="000000"/>
                <w:sz w:val="20"/>
                <w:szCs w:val="20"/>
              </w:rPr>
            </w:pPr>
            <w:r w:rsidRPr="00760411">
              <w:rPr>
                <w:color w:val="000000"/>
                <w:sz w:val="20"/>
                <w:szCs w:val="20"/>
              </w:rPr>
              <w:t>Reserves (Note 1</w:t>
            </w:r>
            <w:r w:rsidR="00822DB4" w:rsidRPr="00760411">
              <w:rPr>
                <w:color w:val="000000"/>
                <w:sz w:val="20"/>
                <w:szCs w:val="20"/>
              </w:rPr>
              <w:t>4</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4F54037B" w14:textId="77777777" w:rsidR="00282F54" w:rsidRPr="00760411" w:rsidRDefault="00282F54" w:rsidP="00282F54">
            <w:pPr>
              <w:ind w:firstLineChars="100" w:firstLine="200"/>
              <w:rPr>
                <w:color w:val="000000"/>
                <w:sz w:val="20"/>
                <w:szCs w:val="20"/>
              </w:rPr>
            </w:pPr>
          </w:p>
        </w:tc>
        <w:tc>
          <w:tcPr>
            <w:tcW w:w="917" w:type="pct"/>
            <w:tcBorders>
              <w:top w:val="nil"/>
              <w:left w:val="nil"/>
              <w:bottom w:val="nil"/>
              <w:right w:val="nil"/>
            </w:tcBorders>
            <w:shd w:val="clear" w:color="auto" w:fill="auto"/>
            <w:noWrap/>
            <w:vAlign w:val="center"/>
            <w:hideMark/>
          </w:tcPr>
          <w:p w14:paraId="65165F25" w14:textId="2AB62FF7" w:rsidR="00282F54" w:rsidRPr="00760411" w:rsidRDefault="00312FB5" w:rsidP="00282F54">
            <w:pPr>
              <w:jc w:val="right"/>
              <w:rPr>
                <w:color w:val="000000"/>
                <w:sz w:val="20"/>
                <w:szCs w:val="20"/>
              </w:rPr>
            </w:pPr>
            <w:r w:rsidRPr="00760411">
              <w:rPr>
                <w:color w:val="000000"/>
                <w:sz w:val="20"/>
                <w:szCs w:val="20"/>
              </w:rPr>
              <w:t>800,559</w:t>
            </w:r>
          </w:p>
        </w:tc>
        <w:tc>
          <w:tcPr>
            <w:tcW w:w="175" w:type="pct"/>
            <w:tcBorders>
              <w:top w:val="nil"/>
              <w:left w:val="nil"/>
              <w:bottom w:val="nil"/>
              <w:right w:val="nil"/>
            </w:tcBorders>
            <w:shd w:val="clear" w:color="auto" w:fill="auto"/>
            <w:noWrap/>
            <w:vAlign w:val="center"/>
            <w:hideMark/>
          </w:tcPr>
          <w:p w14:paraId="264D0A00" w14:textId="77777777" w:rsidR="00282F54" w:rsidRPr="00760411" w:rsidRDefault="00282F54" w:rsidP="00282F54">
            <w:pPr>
              <w:jc w:val="right"/>
              <w:rPr>
                <w:color w:val="000000"/>
                <w:sz w:val="20"/>
                <w:szCs w:val="20"/>
              </w:rPr>
            </w:pPr>
          </w:p>
        </w:tc>
        <w:tc>
          <w:tcPr>
            <w:tcW w:w="916" w:type="pct"/>
            <w:tcBorders>
              <w:top w:val="nil"/>
              <w:left w:val="nil"/>
              <w:bottom w:val="nil"/>
              <w:right w:val="nil"/>
            </w:tcBorders>
            <w:shd w:val="clear" w:color="auto" w:fill="auto"/>
            <w:noWrap/>
            <w:vAlign w:val="center"/>
            <w:hideMark/>
          </w:tcPr>
          <w:p w14:paraId="748569A1" w14:textId="77777777" w:rsidR="00282F54" w:rsidRPr="00760411" w:rsidRDefault="00282F54" w:rsidP="00282F54">
            <w:pPr>
              <w:jc w:val="right"/>
              <w:rPr>
                <w:color w:val="000000"/>
                <w:sz w:val="20"/>
                <w:szCs w:val="20"/>
              </w:rPr>
            </w:pPr>
            <w:r w:rsidRPr="00760411">
              <w:rPr>
                <w:color w:val="000000"/>
                <w:sz w:val="20"/>
                <w:szCs w:val="20"/>
              </w:rPr>
              <w:t>542,565</w:t>
            </w:r>
          </w:p>
        </w:tc>
      </w:tr>
      <w:tr w:rsidR="00282F54" w:rsidRPr="00760411" w14:paraId="7D1FCDA2"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4AA30053" w14:textId="77777777" w:rsidR="00282F54" w:rsidRPr="00760411" w:rsidRDefault="00282F54" w:rsidP="00282F54">
            <w:pPr>
              <w:ind w:firstLineChars="100" w:firstLine="200"/>
              <w:rPr>
                <w:color w:val="000000"/>
                <w:sz w:val="20"/>
                <w:szCs w:val="20"/>
              </w:rPr>
            </w:pPr>
            <w:r w:rsidRPr="00760411">
              <w:rPr>
                <w:color w:val="000000"/>
                <w:sz w:val="20"/>
                <w:szCs w:val="20"/>
              </w:rPr>
              <w:t xml:space="preserve">Accumulated deficit     </w:t>
            </w:r>
          </w:p>
        </w:tc>
        <w:tc>
          <w:tcPr>
            <w:tcW w:w="243" w:type="pct"/>
            <w:tcBorders>
              <w:top w:val="nil"/>
              <w:left w:val="nil"/>
              <w:bottom w:val="single" w:sz="4" w:space="0" w:color="auto"/>
              <w:right w:val="nil"/>
            </w:tcBorders>
            <w:shd w:val="clear" w:color="auto" w:fill="auto"/>
            <w:vAlign w:val="center"/>
            <w:hideMark/>
          </w:tcPr>
          <w:p w14:paraId="6A505D65" w14:textId="77777777" w:rsidR="00282F54" w:rsidRPr="00760411" w:rsidRDefault="00282F54" w:rsidP="00282F54">
            <w:pPr>
              <w:ind w:firstLineChars="100" w:firstLine="200"/>
              <w:rPr>
                <w:color w:val="000000"/>
                <w:sz w:val="20"/>
                <w:szCs w:val="20"/>
              </w:rPr>
            </w:pPr>
            <w:r w:rsidRPr="00760411">
              <w:rPr>
                <w:color w:val="000000"/>
                <w:sz w:val="20"/>
                <w:szCs w:val="20"/>
              </w:rPr>
              <w:t> </w:t>
            </w:r>
          </w:p>
        </w:tc>
        <w:tc>
          <w:tcPr>
            <w:tcW w:w="917" w:type="pct"/>
            <w:tcBorders>
              <w:top w:val="nil"/>
              <w:left w:val="nil"/>
              <w:bottom w:val="single" w:sz="4" w:space="0" w:color="auto"/>
              <w:right w:val="nil"/>
            </w:tcBorders>
            <w:shd w:val="clear" w:color="auto" w:fill="auto"/>
            <w:noWrap/>
            <w:vAlign w:val="center"/>
            <w:hideMark/>
          </w:tcPr>
          <w:p w14:paraId="281BE574" w14:textId="6E931996" w:rsidR="00282F54" w:rsidRPr="00760411" w:rsidRDefault="00282F54" w:rsidP="00282F54">
            <w:pPr>
              <w:jc w:val="right"/>
              <w:rPr>
                <w:color w:val="000000"/>
                <w:sz w:val="20"/>
                <w:szCs w:val="20"/>
              </w:rPr>
            </w:pPr>
            <w:r w:rsidRPr="00760411">
              <w:rPr>
                <w:color w:val="000000"/>
                <w:sz w:val="20"/>
                <w:szCs w:val="20"/>
              </w:rPr>
              <w:t>(1</w:t>
            </w:r>
            <w:r w:rsidR="00312FB5" w:rsidRPr="00760411">
              <w:rPr>
                <w:color w:val="000000"/>
                <w:sz w:val="20"/>
                <w:szCs w:val="20"/>
              </w:rPr>
              <w:t>3,</w:t>
            </w:r>
            <w:r w:rsidR="007D162B">
              <w:rPr>
                <w:color w:val="000000"/>
                <w:sz w:val="20"/>
                <w:szCs w:val="20"/>
              </w:rPr>
              <w:t>889,761</w:t>
            </w:r>
            <w:r w:rsidRPr="00760411">
              <w:rPr>
                <w:color w:val="000000"/>
                <w:sz w:val="20"/>
                <w:szCs w:val="20"/>
              </w:rPr>
              <w:t>)</w:t>
            </w:r>
          </w:p>
        </w:tc>
        <w:tc>
          <w:tcPr>
            <w:tcW w:w="175" w:type="pct"/>
            <w:tcBorders>
              <w:top w:val="nil"/>
              <w:left w:val="nil"/>
              <w:bottom w:val="single" w:sz="4" w:space="0" w:color="auto"/>
              <w:right w:val="nil"/>
            </w:tcBorders>
            <w:shd w:val="clear" w:color="auto" w:fill="auto"/>
            <w:noWrap/>
            <w:vAlign w:val="center"/>
            <w:hideMark/>
          </w:tcPr>
          <w:p w14:paraId="513E4CFC"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single" w:sz="4" w:space="0" w:color="auto"/>
              <w:right w:val="nil"/>
            </w:tcBorders>
            <w:shd w:val="clear" w:color="auto" w:fill="auto"/>
            <w:noWrap/>
            <w:vAlign w:val="center"/>
            <w:hideMark/>
          </w:tcPr>
          <w:p w14:paraId="5E1C4213" w14:textId="77777777" w:rsidR="00282F54" w:rsidRPr="00760411" w:rsidRDefault="00282F54" w:rsidP="00282F54">
            <w:pPr>
              <w:jc w:val="right"/>
              <w:rPr>
                <w:color w:val="000000"/>
                <w:sz w:val="20"/>
                <w:szCs w:val="20"/>
              </w:rPr>
            </w:pPr>
            <w:r w:rsidRPr="00760411">
              <w:rPr>
                <w:color w:val="000000"/>
                <w:sz w:val="20"/>
                <w:szCs w:val="20"/>
              </w:rPr>
              <w:t>(11,237,964)</w:t>
            </w:r>
          </w:p>
        </w:tc>
      </w:tr>
      <w:tr w:rsidR="00282F54" w:rsidRPr="00760411" w14:paraId="5E3481D8" w14:textId="77777777" w:rsidTr="00835C5B">
        <w:trPr>
          <w:trHeight w:val="168"/>
        </w:trPr>
        <w:tc>
          <w:tcPr>
            <w:tcW w:w="2748" w:type="pct"/>
            <w:tcBorders>
              <w:top w:val="nil"/>
              <w:left w:val="nil"/>
              <w:bottom w:val="nil"/>
              <w:right w:val="nil"/>
            </w:tcBorders>
            <w:shd w:val="clear" w:color="auto" w:fill="auto"/>
            <w:vAlign w:val="center"/>
            <w:hideMark/>
          </w:tcPr>
          <w:p w14:paraId="4820ADEC"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28BD0A22"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773A7431"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188884B3"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4857751C" w14:textId="77777777" w:rsidR="00282F54" w:rsidRPr="00760411" w:rsidRDefault="00282F54" w:rsidP="00282F54">
            <w:pPr>
              <w:jc w:val="right"/>
              <w:rPr>
                <w:sz w:val="20"/>
                <w:szCs w:val="20"/>
              </w:rPr>
            </w:pPr>
          </w:p>
        </w:tc>
      </w:tr>
      <w:tr w:rsidR="00282F54" w:rsidRPr="00760411" w14:paraId="15026687" w14:textId="77777777" w:rsidTr="00835C5B">
        <w:trPr>
          <w:trHeight w:val="240"/>
        </w:trPr>
        <w:tc>
          <w:tcPr>
            <w:tcW w:w="2748" w:type="pct"/>
            <w:tcBorders>
              <w:top w:val="nil"/>
              <w:left w:val="nil"/>
              <w:bottom w:val="single" w:sz="4" w:space="0" w:color="auto"/>
              <w:right w:val="nil"/>
            </w:tcBorders>
            <w:shd w:val="clear" w:color="auto" w:fill="auto"/>
            <w:vAlign w:val="center"/>
            <w:hideMark/>
          </w:tcPr>
          <w:p w14:paraId="1F663109" w14:textId="77777777" w:rsidR="00282F54" w:rsidRPr="00760411" w:rsidRDefault="00282F54" w:rsidP="00282F54">
            <w:pPr>
              <w:rPr>
                <w:b/>
                <w:bCs/>
                <w:color w:val="000000"/>
                <w:sz w:val="20"/>
                <w:szCs w:val="20"/>
              </w:rPr>
            </w:pPr>
            <w:r w:rsidRPr="00760411">
              <w:rPr>
                <w:b/>
                <w:bCs/>
                <w:color w:val="000000"/>
                <w:sz w:val="20"/>
                <w:szCs w:val="20"/>
              </w:rPr>
              <w:t>Total shareholders’ deficiency</w:t>
            </w:r>
          </w:p>
        </w:tc>
        <w:tc>
          <w:tcPr>
            <w:tcW w:w="243" w:type="pct"/>
            <w:tcBorders>
              <w:top w:val="nil"/>
              <w:left w:val="nil"/>
              <w:bottom w:val="single" w:sz="4" w:space="0" w:color="auto"/>
              <w:right w:val="nil"/>
            </w:tcBorders>
            <w:shd w:val="clear" w:color="auto" w:fill="auto"/>
            <w:vAlign w:val="center"/>
            <w:hideMark/>
          </w:tcPr>
          <w:p w14:paraId="2E73D986" w14:textId="77777777" w:rsidR="00282F54" w:rsidRPr="00760411" w:rsidRDefault="00282F54" w:rsidP="00282F54">
            <w:pPr>
              <w:rPr>
                <w:b/>
                <w:bCs/>
                <w:color w:val="000000"/>
                <w:sz w:val="20"/>
                <w:szCs w:val="20"/>
              </w:rPr>
            </w:pPr>
            <w:r w:rsidRPr="00760411">
              <w:rPr>
                <w:b/>
                <w:bCs/>
                <w:color w:val="000000"/>
                <w:sz w:val="20"/>
                <w:szCs w:val="20"/>
              </w:rPr>
              <w:t> </w:t>
            </w:r>
          </w:p>
        </w:tc>
        <w:tc>
          <w:tcPr>
            <w:tcW w:w="917" w:type="pct"/>
            <w:tcBorders>
              <w:top w:val="nil"/>
              <w:left w:val="nil"/>
              <w:bottom w:val="single" w:sz="4" w:space="0" w:color="auto"/>
              <w:right w:val="nil"/>
            </w:tcBorders>
            <w:shd w:val="clear" w:color="auto" w:fill="auto"/>
            <w:noWrap/>
            <w:vAlign w:val="center"/>
            <w:hideMark/>
          </w:tcPr>
          <w:p w14:paraId="2D6CA673" w14:textId="0AFA1DEF" w:rsidR="00282F54" w:rsidRPr="00760411" w:rsidRDefault="00282F54" w:rsidP="00282F54">
            <w:pPr>
              <w:jc w:val="right"/>
              <w:rPr>
                <w:color w:val="000000"/>
                <w:sz w:val="20"/>
                <w:szCs w:val="20"/>
              </w:rPr>
            </w:pPr>
            <w:r w:rsidRPr="00760411">
              <w:rPr>
                <w:color w:val="000000"/>
                <w:sz w:val="20"/>
                <w:szCs w:val="20"/>
              </w:rPr>
              <w:t>(</w:t>
            </w:r>
            <w:r w:rsidR="00312FB5" w:rsidRPr="00760411">
              <w:rPr>
                <w:color w:val="000000"/>
                <w:sz w:val="20"/>
                <w:szCs w:val="20"/>
              </w:rPr>
              <w:t>2,</w:t>
            </w:r>
            <w:r w:rsidR="007D162B">
              <w:rPr>
                <w:color w:val="000000"/>
                <w:sz w:val="20"/>
                <w:szCs w:val="20"/>
              </w:rPr>
              <w:t>871,490</w:t>
            </w:r>
            <w:r w:rsidRPr="00760411">
              <w:rPr>
                <w:color w:val="000000"/>
                <w:sz w:val="20"/>
                <w:szCs w:val="20"/>
              </w:rPr>
              <w:t>)</w:t>
            </w:r>
          </w:p>
        </w:tc>
        <w:tc>
          <w:tcPr>
            <w:tcW w:w="175" w:type="pct"/>
            <w:tcBorders>
              <w:top w:val="nil"/>
              <w:left w:val="nil"/>
              <w:bottom w:val="single" w:sz="4" w:space="0" w:color="auto"/>
              <w:right w:val="nil"/>
            </w:tcBorders>
            <w:shd w:val="clear" w:color="auto" w:fill="auto"/>
            <w:noWrap/>
            <w:vAlign w:val="center"/>
            <w:hideMark/>
          </w:tcPr>
          <w:p w14:paraId="3C3A492B" w14:textId="77777777" w:rsidR="00282F54" w:rsidRPr="00760411" w:rsidRDefault="00282F54" w:rsidP="00282F54">
            <w:pPr>
              <w:jc w:val="right"/>
              <w:rPr>
                <w:color w:val="000000"/>
                <w:sz w:val="20"/>
                <w:szCs w:val="20"/>
              </w:rPr>
            </w:pPr>
            <w:r w:rsidRPr="00760411">
              <w:rPr>
                <w:color w:val="000000"/>
                <w:sz w:val="20"/>
                <w:szCs w:val="20"/>
              </w:rPr>
              <w:t> </w:t>
            </w:r>
          </w:p>
        </w:tc>
        <w:tc>
          <w:tcPr>
            <w:tcW w:w="916" w:type="pct"/>
            <w:tcBorders>
              <w:top w:val="nil"/>
              <w:left w:val="nil"/>
              <w:bottom w:val="single" w:sz="4" w:space="0" w:color="auto"/>
              <w:right w:val="nil"/>
            </w:tcBorders>
            <w:shd w:val="clear" w:color="auto" w:fill="auto"/>
            <w:noWrap/>
            <w:vAlign w:val="center"/>
            <w:hideMark/>
          </w:tcPr>
          <w:p w14:paraId="2315C3B9" w14:textId="77777777" w:rsidR="00282F54" w:rsidRPr="00760411" w:rsidRDefault="00282F54" w:rsidP="00282F54">
            <w:pPr>
              <w:jc w:val="right"/>
              <w:rPr>
                <w:color w:val="000000"/>
                <w:sz w:val="20"/>
                <w:szCs w:val="20"/>
              </w:rPr>
            </w:pPr>
            <w:r w:rsidRPr="00760411">
              <w:rPr>
                <w:color w:val="000000"/>
                <w:sz w:val="20"/>
                <w:szCs w:val="20"/>
              </w:rPr>
              <w:t>(2,187,901)</w:t>
            </w:r>
          </w:p>
        </w:tc>
      </w:tr>
      <w:tr w:rsidR="00282F54" w:rsidRPr="00760411" w14:paraId="3EA5DC3C" w14:textId="77777777" w:rsidTr="00835C5B">
        <w:trPr>
          <w:trHeight w:val="168"/>
        </w:trPr>
        <w:tc>
          <w:tcPr>
            <w:tcW w:w="2748" w:type="pct"/>
            <w:tcBorders>
              <w:top w:val="nil"/>
              <w:left w:val="nil"/>
              <w:bottom w:val="nil"/>
              <w:right w:val="nil"/>
            </w:tcBorders>
            <w:shd w:val="clear" w:color="auto" w:fill="auto"/>
            <w:vAlign w:val="center"/>
            <w:hideMark/>
          </w:tcPr>
          <w:p w14:paraId="1824061D"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390B3B6F"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noWrap/>
            <w:vAlign w:val="center"/>
            <w:hideMark/>
          </w:tcPr>
          <w:p w14:paraId="7EF3F44D"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noWrap/>
            <w:vAlign w:val="center"/>
            <w:hideMark/>
          </w:tcPr>
          <w:p w14:paraId="6FF02C26" w14:textId="77777777" w:rsidR="00282F54" w:rsidRPr="00760411" w:rsidRDefault="00282F54" w:rsidP="00282F54">
            <w:pPr>
              <w:jc w:val="right"/>
              <w:rPr>
                <w:sz w:val="20"/>
                <w:szCs w:val="20"/>
              </w:rPr>
            </w:pPr>
          </w:p>
        </w:tc>
        <w:tc>
          <w:tcPr>
            <w:tcW w:w="916" w:type="pct"/>
            <w:tcBorders>
              <w:top w:val="nil"/>
              <w:left w:val="nil"/>
              <w:bottom w:val="nil"/>
              <w:right w:val="nil"/>
            </w:tcBorders>
            <w:shd w:val="clear" w:color="auto" w:fill="auto"/>
            <w:noWrap/>
            <w:vAlign w:val="center"/>
            <w:hideMark/>
          </w:tcPr>
          <w:p w14:paraId="6BDAA982" w14:textId="77777777" w:rsidR="00282F54" w:rsidRPr="00760411" w:rsidRDefault="00282F54" w:rsidP="00282F54">
            <w:pPr>
              <w:jc w:val="right"/>
              <w:rPr>
                <w:sz w:val="20"/>
                <w:szCs w:val="20"/>
              </w:rPr>
            </w:pPr>
          </w:p>
        </w:tc>
      </w:tr>
      <w:tr w:rsidR="00282F54" w:rsidRPr="00760411" w14:paraId="2243776A" w14:textId="77777777" w:rsidTr="00835C5B">
        <w:trPr>
          <w:trHeight w:val="240"/>
        </w:trPr>
        <w:tc>
          <w:tcPr>
            <w:tcW w:w="2748" w:type="pct"/>
            <w:tcBorders>
              <w:top w:val="nil"/>
              <w:left w:val="nil"/>
              <w:bottom w:val="double" w:sz="6" w:space="0" w:color="auto"/>
              <w:right w:val="nil"/>
            </w:tcBorders>
            <w:shd w:val="clear" w:color="auto" w:fill="auto"/>
            <w:vAlign w:val="center"/>
            <w:hideMark/>
          </w:tcPr>
          <w:p w14:paraId="7BFEB4F2" w14:textId="77777777" w:rsidR="00282F54" w:rsidRPr="00760411" w:rsidRDefault="00282F54" w:rsidP="00282F54">
            <w:pPr>
              <w:rPr>
                <w:b/>
                <w:bCs/>
                <w:color w:val="000000"/>
                <w:sz w:val="20"/>
                <w:szCs w:val="20"/>
              </w:rPr>
            </w:pPr>
            <w:r w:rsidRPr="00760411">
              <w:rPr>
                <w:b/>
                <w:bCs/>
                <w:color w:val="000000"/>
                <w:sz w:val="20"/>
                <w:szCs w:val="20"/>
              </w:rPr>
              <w:t>Total liabilities and shareholders’ deficiency</w:t>
            </w:r>
          </w:p>
        </w:tc>
        <w:tc>
          <w:tcPr>
            <w:tcW w:w="243" w:type="pct"/>
            <w:tcBorders>
              <w:top w:val="nil"/>
              <w:left w:val="nil"/>
              <w:bottom w:val="double" w:sz="6" w:space="0" w:color="auto"/>
              <w:right w:val="nil"/>
            </w:tcBorders>
            <w:shd w:val="clear" w:color="auto" w:fill="auto"/>
            <w:noWrap/>
            <w:vAlign w:val="center"/>
            <w:hideMark/>
          </w:tcPr>
          <w:p w14:paraId="7570AF3B" w14:textId="77777777" w:rsidR="00282F54" w:rsidRPr="00760411" w:rsidRDefault="00282F54" w:rsidP="00282F54">
            <w:pPr>
              <w:jc w:val="right"/>
              <w:rPr>
                <w:color w:val="000000"/>
                <w:sz w:val="20"/>
                <w:szCs w:val="20"/>
              </w:rPr>
            </w:pPr>
            <w:r w:rsidRPr="00760411">
              <w:rPr>
                <w:color w:val="000000"/>
                <w:sz w:val="20"/>
                <w:szCs w:val="20"/>
              </w:rPr>
              <w:t>$</w:t>
            </w:r>
          </w:p>
        </w:tc>
        <w:tc>
          <w:tcPr>
            <w:tcW w:w="917" w:type="pct"/>
            <w:tcBorders>
              <w:top w:val="nil"/>
              <w:left w:val="nil"/>
              <w:bottom w:val="double" w:sz="6" w:space="0" w:color="auto"/>
              <w:right w:val="nil"/>
            </w:tcBorders>
            <w:shd w:val="clear" w:color="auto" w:fill="auto"/>
            <w:noWrap/>
            <w:vAlign w:val="center"/>
            <w:hideMark/>
          </w:tcPr>
          <w:p w14:paraId="7EFF6C6E" w14:textId="6EBD987C" w:rsidR="00282F54" w:rsidRPr="00760411" w:rsidRDefault="00282F54" w:rsidP="00282F54">
            <w:pPr>
              <w:jc w:val="right"/>
              <w:rPr>
                <w:color w:val="000000"/>
                <w:sz w:val="20"/>
                <w:szCs w:val="20"/>
              </w:rPr>
            </w:pPr>
            <w:r w:rsidRPr="00760411">
              <w:rPr>
                <w:color w:val="000000"/>
                <w:sz w:val="20"/>
                <w:szCs w:val="20"/>
              </w:rPr>
              <w:t>4,</w:t>
            </w:r>
            <w:r w:rsidR="007D162B">
              <w:rPr>
                <w:color w:val="000000"/>
                <w:sz w:val="20"/>
                <w:szCs w:val="20"/>
              </w:rPr>
              <w:t>581,184</w:t>
            </w:r>
          </w:p>
        </w:tc>
        <w:tc>
          <w:tcPr>
            <w:tcW w:w="175" w:type="pct"/>
            <w:tcBorders>
              <w:top w:val="nil"/>
              <w:left w:val="nil"/>
              <w:bottom w:val="double" w:sz="6" w:space="0" w:color="auto"/>
              <w:right w:val="nil"/>
            </w:tcBorders>
            <w:shd w:val="clear" w:color="auto" w:fill="auto"/>
            <w:noWrap/>
            <w:vAlign w:val="center"/>
            <w:hideMark/>
          </w:tcPr>
          <w:p w14:paraId="27EFBDDC" w14:textId="77777777" w:rsidR="00282F54" w:rsidRPr="00760411" w:rsidRDefault="00282F54" w:rsidP="00282F54">
            <w:pPr>
              <w:jc w:val="right"/>
              <w:rPr>
                <w:color w:val="000000"/>
                <w:sz w:val="20"/>
                <w:szCs w:val="20"/>
              </w:rPr>
            </w:pPr>
            <w:r w:rsidRPr="00760411">
              <w:rPr>
                <w:color w:val="000000"/>
                <w:sz w:val="20"/>
                <w:szCs w:val="20"/>
              </w:rPr>
              <w:t>$</w:t>
            </w:r>
          </w:p>
        </w:tc>
        <w:tc>
          <w:tcPr>
            <w:tcW w:w="916" w:type="pct"/>
            <w:tcBorders>
              <w:top w:val="nil"/>
              <w:left w:val="nil"/>
              <w:bottom w:val="double" w:sz="6" w:space="0" w:color="auto"/>
              <w:right w:val="nil"/>
            </w:tcBorders>
            <w:shd w:val="clear" w:color="auto" w:fill="auto"/>
            <w:noWrap/>
            <w:vAlign w:val="center"/>
            <w:hideMark/>
          </w:tcPr>
          <w:p w14:paraId="33536B2D" w14:textId="77777777" w:rsidR="00282F54" w:rsidRPr="00760411" w:rsidRDefault="00282F54" w:rsidP="00282F54">
            <w:pPr>
              <w:jc w:val="right"/>
              <w:rPr>
                <w:color w:val="000000"/>
                <w:sz w:val="20"/>
                <w:szCs w:val="20"/>
              </w:rPr>
            </w:pPr>
            <w:r w:rsidRPr="00760411">
              <w:rPr>
                <w:color w:val="000000"/>
                <w:sz w:val="20"/>
                <w:szCs w:val="20"/>
              </w:rPr>
              <w:t>4,571,913</w:t>
            </w:r>
          </w:p>
        </w:tc>
      </w:tr>
      <w:tr w:rsidR="00282F54" w:rsidRPr="00760411" w14:paraId="726EEC65" w14:textId="77777777" w:rsidTr="00835C5B">
        <w:trPr>
          <w:trHeight w:val="168"/>
        </w:trPr>
        <w:tc>
          <w:tcPr>
            <w:tcW w:w="2748" w:type="pct"/>
            <w:tcBorders>
              <w:top w:val="nil"/>
              <w:left w:val="nil"/>
              <w:bottom w:val="nil"/>
              <w:right w:val="nil"/>
            </w:tcBorders>
            <w:shd w:val="clear" w:color="auto" w:fill="auto"/>
            <w:vAlign w:val="center"/>
            <w:hideMark/>
          </w:tcPr>
          <w:p w14:paraId="1148DDB9" w14:textId="77777777" w:rsidR="00282F54" w:rsidRPr="00760411" w:rsidRDefault="00282F54" w:rsidP="00282F54">
            <w:pPr>
              <w:jc w:val="right"/>
              <w:rPr>
                <w:color w:val="000000"/>
                <w:sz w:val="20"/>
                <w:szCs w:val="20"/>
              </w:rPr>
            </w:pPr>
          </w:p>
        </w:tc>
        <w:tc>
          <w:tcPr>
            <w:tcW w:w="243" w:type="pct"/>
            <w:tcBorders>
              <w:top w:val="nil"/>
              <w:left w:val="nil"/>
              <w:bottom w:val="nil"/>
              <w:right w:val="nil"/>
            </w:tcBorders>
            <w:shd w:val="clear" w:color="auto" w:fill="auto"/>
            <w:vAlign w:val="center"/>
            <w:hideMark/>
          </w:tcPr>
          <w:p w14:paraId="336ECF3C" w14:textId="77777777" w:rsidR="00282F54" w:rsidRPr="00760411" w:rsidRDefault="00282F54" w:rsidP="00282F54">
            <w:pPr>
              <w:rPr>
                <w:sz w:val="20"/>
                <w:szCs w:val="20"/>
              </w:rPr>
            </w:pPr>
          </w:p>
        </w:tc>
        <w:tc>
          <w:tcPr>
            <w:tcW w:w="917" w:type="pct"/>
            <w:tcBorders>
              <w:top w:val="nil"/>
              <w:left w:val="nil"/>
              <w:bottom w:val="nil"/>
              <w:right w:val="nil"/>
            </w:tcBorders>
            <w:shd w:val="clear" w:color="auto" w:fill="auto"/>
            <w:vAlign w:val="center"/>
            <w:hideMark/>
          </w:tcPr>
          <w:p w14:paraId="3D110025"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503F72FE"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2D2B552A" w14:textId="77777777" w:rsidR="00282F54" w:rsidRPr="00760411" w:rsidRDefault="00282F54" w:rsidP="00282F54">
            <w:pPr>
              <w:rPr>
                <w:sz w:val="20"/>
                <w:szCs w:val="20"/>
              </w:rPr>
            </w:pPr>
          </w:p>
        </w:tc>
      </w:tr>
      <w:tr w:rsidR="00282F54" w:rsidRPr="00760411" w14:paraId="1EFC2703" w14:textId="77777777" w:rsidTr="00835C5B">
        <w:trPr>
          <w:trHeight w:val="240"/>
        </w:trPr>
        <w:tc>
          <w:tcPr>
            <w:tcW w:w="2748" w:type="pct"/>
            <w:tcBorders>
              <w:top w:val="nil"/>
              <w:left w:val="nil"/>
              <w:bottom w:val="nil"/>
              <w:right w:val="nil"/>
            </w:tcBorders>
            <w:shd w:val="clear" w:color="auto" w:fill="auto"/>
            <w:vAlign w:val="center"/>
            <w:hideMark/>
          </w:tcPr>
          <w:p w14:paraId="246FCB1D" w14:textId="77777777" w:rsidR="00282F54" w:rsidRPr="00760411" w:rsidRDefault="00282F54" w:rsidP="00282F54">
            <w:pPr>
              <w:rPr>
                <w:b/>
                <w:bCs/>
                <w:color w:val="000000"/>
                <w:sz w:val="20"/>
                <w:szCs w:val="20"/>
              </w:rPr>
            </w:pPr>
            <w:r w:rsidRPr="00760411">
              <w:rPr>
                <w:b/>
                <w:bCs/>
                <w:color w:val="000000"/>
                <w:sz w:val="20"/>
                <w:szCs w:val="20"/>
              </w:rPr>
              <w:t>Nature of operations</w:t>
            </w:r>
            <w:r w:rsidRPr="00760411">
              <w:rPr>
                <w:color w:val="000000"/>
                <w:sz w:val="20"/>
                <w:szCs w:val="20"/>
              </w:rPr>
              <w:t xml:space="preserve"> (Note 1)</w:t>
            </w:r>
          </w:p>
        </w:tc>
        <w:tc>
          <w:tcPr>
            <w:tcW w:w="243" w:type="pct"/>
            <w:tcBorders>
              <w:top w:val="nil"/>
              <w:left w:val="nil"/>
              <w:bottom w:val="nil"/>
              <w:right w:val="nil"/>
            </w:tcBorders>
            <w:shd w:val="clear" w:color="auto" w:fill="auto"/>
            <w:vAlign w:val="center"/>
            <w:hideMark/>
          </w:tcPr>
          <w:p w14:paraId="6FCFEB14"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vAlign w:val="center"/>
            <w:hideMark/>
          </w:tcPr>
          <w:p w14:paraId="167A4C6A"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6CD23295"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56EB612F" w14:textId="77777777" w:rsidR="00282F54" w:rsidRPr="00760411" w:rsidRDefault="00282F54" w:rsidP="00282F54">
            <w:pPr>
              <w:rPr>
                <w:sz w:val="20"/>
                <w:szCs w:val="20"/>
              </w:rPr>
            </w:pPr>
          </w:p>
        </w:tc>
      </w:tr>
      <w:tr w:rsidR="00282F54" w:rsidRPr="00760411" w14:paraId="56158299" w14:textId="77777777" w:rsidTr="00835C5B">
        <w:trPr>
          <w:trHeight w:val="240"/>
        </w:trPr>
        <w:tc>
          <w:tcPr>
            <w:tcW w:w="2748" w:type="pct"/>
            <w:tcBorders>
              <w:top w:val="nil"/>
              <w:left w:val="nil"/>
              <w:bottom w:val="nil"/>
              <w:right w:val="nil"/>
            </w:tcBorders>
            <w:shd w:val="clear" w:color="auto" w:fill="auto"/>
            <w:vAlign w:val="center"/>
            <w:hideMark/>
          </w:tcPr>
          <w:p w14:paraId="4A7156E3" w14:textId="0782BDEF" w:rsidR="00282F54" w:rsidRPr="00760411" w:rsidRDefault="00282F54" w:rsidP="00282F54">
            <w:pPr>
              <w:rPr>
                <w:b/>
                <w:bCs/>
                <w:color w:val="000000"/>
                <w:sz w:val="20"/>
                <w:szCs w:val="20"/>
              </w:rPr>
            </w:pPr>
            <w:r w:rsidRPr="00760411">
              <w:rPr>
                <w:b/>
                <w:bCs/>
                <w:color w:val="000000"/>
                <w:sz w:val="20"/>
                <w:szCs w:val="20"/>
              </w:rPr>
              <w:t>Event</w:t>
            </w:r>
            <w:r w:rsidR="004F5DCC">
              <w:rPr>
                <w:b/>
                <w:bCs/>
                <w:color w:val="000000"/>
                <w:sz w:val="20"/>
                <w:szCs w:val="20"/>
              </w:rPr>
              <w:t>s</w:t>
            </w:r>
            <w:r w:rsidRPr="00760411">
              <w:rPr>
                <w:b/>
                <w:bCs/>
                <w:color w:val="000000"/>
                <w:sz w:val="20"/>
                <w:szCs w:val="20"/>
              </w:rPr>
              <w:t xml:space="preserve"> after the reporting period </w:t>
            </w:r>
            <w:r w:rsidRPr="00760411">
              <w:rPr>
                <w:color w:val="000000"/>
                <w:sz w:val="20"/>
                <w:szCs w:val="20"/>
              </w:rPr>
              <w:t xml:space="preserve">(Note </w:t>
            </w:r>
            <w:r w:rsidR="00EE73EB" w:rsidRPr="00760411">
              <w:rPr>
                <w:color w:val="000000"/>
                <w:sz w:val="20"/>
                <w:szCs w:val="20"/>
              </w:rPr>
              <w:t>1</w:t>
            </w:r>
            <w:r w:rsidR="00822DB4" w:rsidRPr="00760411">
              <w:rPr>
                <w:color w:val="000000"/>
                <w:sz w:val="20"/>
                <w:szCs w:val="20"/>
              </w:rPr>
              <w:t>8</w:t>
            </w:r>
            <w:r w:rsidRPr="00760411">
              <w:rPr>
                <w:color w:val="000000"/>
                <w:sz w:val="20"/>
                <w:szCs w:val="20"/>
              </w:rPr>
              <w:t>)</w:t>
            </w:r>
          </w:p>
        </w:tc>
        <w:tc>
          <w:tcPr>
            <w:tcW w:w="243" w:type="pct"/>
            <w:tcBorders>
              <w:top w:val="nil"/>
              <w:left w:val="nil"/>
              <w:bottom w:val="nil"/>
              <w:right w:val="nil"/>
            </w:tcBorders>
            <w:shd w:val="clear" w:color="auto" w:fill="auto"/>
            <w:vAlign w:val="center"/>
            <w:hideMark/>
          </w:tcPr>
          <w:p w14:paraId="791F102A" w14:textId="77777777" w:rsidR="00282F54" w:rsidRPr="00760411" w:rsidRDefault="00282F54" w:rsidP="00282F54">
            <w:pPr>
              <w:rPr>
                <w:b/>
                <w:bCs/>
                <w:color w:val="000000"/>
                <w:sz w:val="20"/>
                <w:szCs w:val="20"/>
              </w:rPr>
            </w:pPr>
          </w:p>
        </w:tc>
        <w:tc>
          <w:tcPr>
            <w:tcW w:w="917" w:type="pct"/>
            <w:tcBorders>
              <w:top w:val="nil"/>
              <w:left w:val="nil"/>
              <w:bottom w:val="nil"/>
              <w:right w:val="nil"/>
            </w:tcBorders>
            <w:shd w:val="clear" w:color="auto" w:fill="auto"/>
            <w:vAlign w:val="center"/>
            <w:hideMark/>
          </w:tcPr>
          <w:p w14:paraId="37BC02F6" w14:textId="77777777" w:rsidR="00282F54" w:rsidRPr="00760411" w:rsidRDefault="00282F54" w:rsidP="00282F54">
            <w:pPr>
              <w:rPr>
                <w:sz w:val="20"/>
                <w:szCs w:val="20"/>
              </w:rPr>
            </w:pPr>
          </w:p>
        </w:tc>
        <w:tc>
          <w:tcPr>
            <w:tcW w:w="175" w:type="pct"/>
            <w:tcBorders>
              <w:top w:val="nil"/>
              <w:left w:val="nil"/>
              <w:bottom w:val="nil"/>
              <w:right w:val="nil"/>
            </w:tcBorders>
            <w:shd w:val="clear" w:color="auto" w:fill="auto"/>
            <w:vAlign w:val="center"/>
            <w:hideMark/>
          </w:tcPr>
          <w:p w14:paraId="42CA59D4" w14:textId="77777777" w:rsidR="00282F54" w:rsidRPr="00760411" w:rsidRDefault="00282F54" w:rsidP="00282F54">
            <w:pPr>
              <w:rPr>
                <w:sz w:val="20"/>
                <w:szCs w:val="20"/>
              </w:rPr>
            </w:pPr>
          </w:p>
        </w:tc>
        <w:tc>
          <w:tcPr>
            <w:tcW w:w="916" w:type="pct"/>
            <w:tcBorders>
              <w:top w:val="nil"/>
              <w:left w:val="nil"/>
              <w:bottom w:val="nil"/>
              <w:right w:val="nil"/>
            </w:tcBorders>
            <w:shd w:val="clear" w:color="auto" w:fill="auto"/>
            <w:vAlign w:val="center"/>
            <w:hideMark/>
          </w:tcPr>
          <w:p w14:paraId="67E4F846" w14:textId="77777777" w:rsidR="00282F54" w:rsidRPr="00760411" w:rsidRDefault="00282F54" w:rsidP="00282F54">
            <w:pPr>
              <w:rPr>
                <w:sz w:val="20"/>
                <w:szCs w:val="20"/>
              </w:rPr>
            </w:pPr>
          </w:p>
        </w:tc>
      </w:tr>
    </w:tbl>
    <w:p w14:paraId="0BAB39AD" w14:textId="77777777" w:rsidR="00DC28EA" w:rsidRPr="00312FB5" w:rsidRDefault="00DC28EA" w:rsidP="00730AD9">
      <w:pPr>
        <w:rPr>
          <w:sz w:val="16"/>
          <w:szCs w:val="16"/>
        </w:rPr>
      </w:pPr>
    </w:p>
    <w:p w14:paraId="42D05D91" w14:textId="3EADCC44" w:rsidR="00CF7DD9" w:rsidRPr="00312FB5" w:rsidRDefault="002B71B0" w:rsidP="00730AD9">
      <w:pPr>
        <w:rPr>
          <w:sz w:val="16"/>
          <w:szCs w:val="16"/>
        </w:rPr>
      </w:pPr>
      <w:r w:rsidRPr="00312FB5">
        <w:rPr>
          <w:sz w:val="16"/>
          <w:szCs w:val="16"/>
        </w:rPr>
        <w:t xml:space="preserve">Approved on behalf of the Board of Directors on </w:t>
      </w:r>
      <w:r w:rsidR="00312FB5" w:rsidRPr="00835C5B">
        <w:rPr>
          <w:sz w:val="16"/>
          <w:szCs w:val="16"/>
        </w:rPr>
        <w:t>August</w:t>
      </w:r>
      <w:r w:rsidR="00D16E49" w:rsidRPr="00835C5B">
        <w:rPr>
          <w:sz w:val="16"/>
          <w:szCs w:val="16"/>
        </w:rPr>
        <w:t xml:space="preserve"> </w:t>
      </w:r>
      <w:r w:rsidR="00B75725" w:rsidRPr="00835C5B">
        <w:rPr>
          <w:sz w:val="16"/>
          <w:szCs w:val="16"/>
        </w:rPr>
        <w:t>30</w:t>
      </w:r>
      <w:r w:rsidRPr="00835C5B">
        <w:rPr>
          <w:sz w:val="16"/>
          <w:szCs w:val="16"/>
        </w:rPr>
        <w:t>, 20</w:t>
      </w:r>
      <w:r w:rsidR="00F65DA3" w:rsidRPr="00835C5B">
        <w:rPr>
          <w:sz w:val="16"/>
          <w:szCs w:val="16"/>
        </w:rPr>
        <w:t>2</w:t>
      </w:r>
      <w:r w:rsidR="00481F6D" w:rsidRPr="00835C5B">
        <w:rPr>
          <w:sz w:val="16"/>
          <w:szCs w:val="16"/>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272"/>
        <w:gridCol w:w="3264"/>
        <w:gridCol w:w="1412"/>
      </w:tblGrid>
      <w:tr w:rsidR="002B71B0" w:rsidRPr="00312FB5" w14:paraId="643EA68D" w14:textId="77777777" w:rsidTr="002B71B0">
        <w:tc>
          <w:tcPr>
            <w:tcW w:w="3402" w:type="dxa"/>
          </w:tcPr>
          <w:p w14:paraId="4EA25499" w14:textId="77777777" w:rsidR="002B71B0" w:rsidRPr="00312FB5" w:rsidRDefault="002B71B0" w:rsidP="00730AD9">
            <w:pPr>
              <w:rPr>
                <w:sz w:val="16"/>
                <w:szCs w:val="16"/>
              </w:rPr>
            </w:pPr>
          </w:p>
        </w:tc>
        <w:tc>
          <w:tcPr>
            <w:tcW w:w="1272" w:type="dxa"/>
          </w:tcPr>
          <w:p w14:paraId="44945204" w14:textId="77777777" w:rsidR="002B71B0" w:rsidRPr="00312FB5" w:rsidRDefault="002B71B0" w:rsidP="00730AD9">
            <w:pPr>
              <w:rPr>
                <w:sz w:val="16"/>
                <w:szCs w:val="16"/>
              </w:rPr>
            </w:pPr>
          </w:p>
        </w:tc>
        <w:tc>
          <w:tcPr>
            <w:tcW w:w="3264" w:type="dxa"/>
          </w:tcPr>
          <w:p w14:paraId="091B3487" w14:textId="77777777" w:rsidR="002B71B0" w:rsidRPr="00312FB5" w:rsidRDefault="002B71B0" w:rsidP="00730AD9">
            <w:pPr>
              <w:rPr>
                <w:sz w:val="16"/>
                <w:szCs w:val="16"/>
              </w:rPr>
            </w:pPr>
          </w:p>
        </w:tc>
        <w:tc>
          <w:tcPr>
            <w:tcW w:w="1412" w:type="dxa"/>
          </w:tcPr>
          <w:p w14:paraId="73BAE70C" w14:textId="77777777" w:rsidR="002B71B0" w:rsidRPr="00312FB5" w:rsidRDefault="002B71B0" w:rsidP="00730AD9">
            <w:pPr>
              <w:rPr>
                <w:sz w:val="16"/>
                <w:szCs w:val="16"/>
              </w:rPr>
            </w:pPr>
          </w:p>
        </w:tc>
      </w:tr>
      <w:tr w:rsidR="002B71B0" w:rsidRPr="00312FB5" w14:paraId="5B6C518E" w14:textId="77777777" w:rsidTr="002B71B0">
        <w:tc>
          <w:tcPr>
            <w:tcW w:w="3402" w:type="dxa"/>
            <w:tcBorders>
              <w:bottom w:val="single" w:sz="4" w:space="0" w:color="auto"/>
            </w:tcBorders>
          </w:tcPr>
          <w:p w14:paraId="52885E57" w14:textId="7B8F5087" w:rsidR="002B71B0" w:rsidRPr="00312FB5" w:rsidRDefault="00481F6D" w:rsidP="00730AD9">
            <w:pPr>
              <w:jc w:val="center"/>
              <w:rPr>
                <w:i/>
                <w:iCs/>
                <w:sz w:val="16"/>
                <w:szCs w:val="16"/>
              </w:rPr>
            </w:pPr>
            <w:r w:rsidRPr="00312FB5">
              <w:rPr>
                <w:i/>
                <w:iCs/>
                <w:sz w:val="16"/>
                <w:szCs w:val="16"/>
              </w:rPr>
              <w:t>“Karim Nanji”</w:t>
            </w:r>
          </w:p>
        </w:tc>
        <w:tc>
          <w:tcPr>
            <w:tcW w:w="1272" w:type="dxa"/>
          </w:tcPr>
          <w:p w14:paraId="549817C1" w14:textId="77777777" w:rsidR="002B71B0" w:rsidRPr="00312FB5" w:rsidRDefault="002B71B0" w:rsidP="00730AD9">
            <w:pPr>
              <w:rPr>
                <w:sz w:val="16"/>
                <w:szCs w:val="16"/>
              </w:rPr>
            </w:pPr>
            <w:r w:rsidRPr="00312FB5">
              <w:rPr>
                <w:sz w:val="16"/>
                <w:szCs w:val="16"/>
              </w:rPr>
              <w:t>Director</w:t>
            </w:r>
          </w:p>
        </w:tc>
        <w:tc>
          <w:tcPr>
            <w:tcW w:w="3264" w:type="dxa"/>
            <w:tcBorders>
              <w:bottom w:val="single" w:sz="4" w:space="0" w:color="auto"/>
            </w:tcBorders>
          </w:tcPr>
          <w:p w14:paraId="69D43362" w14:textId="738F724C" w:rsidR="002B71B0" w:rsidRPr="00312FB5" w:rsidRDefault="00481F6D" w:rsidP="00730AD9">
            <w:pPr>
              <w:jc w:val="center"/>
              <w:rPr>
                <w:i/>
                <w:iCs/>
                <w:sz w:val="16"/>
                <w:szCs w:val="16"/>
              </w:rPr>
            </w:pPr>
            <w:r w:rsidRPr="00312FB5">
              <w:rPr>
                <w:i/>
                <w:iCs/>
                <w:sz w:val="16"/>
                <w:szCs w:val="16"/>
              </w:rPr>
              <w:t>“Farhan Abbas”</w:t>
            </w:r>
          </w:p>
        </w:tc>
        <w:tc>
          <w:tcPr>
            <w:tcW w:w="1412" w:type="dxa"/>
          </w:tcPr>
          <w:p w14:paraId="0CC42280" w14:textId="77777777" w:rsidR="002B71B0" w:rsidRPr="00312FB5" w:rsidRDefault="002B71B0" w:rsidP="00730AD9">
            <w:pPr>
              <w:rPr>
                <w:sz w:val="16"/>
                <w:szCs w:val="16"/>
              </w:rPr>
            </w:pPr>
            <w:r w:rsidRPr="00312FB5">
              <w:rPr>
                <w:sz w:val="16"/>
                <w:szCs w:val="16"/>
              </w:rPr>
              <w:t>Director</w:t>
            </w:r>
          </w:p>
        </w:tc>
      </w:tr>
      <w:tr w:rsidR="002B71B0" w14:paraId="2D925882" w14:textId="77777777" w:rsidTr="002B71B0">
        <w:tc>
          <w:tcPr>
            <w:tcW w:w="3402" w:type="dxa"/>
            <w:tcBorders>
              <w:top w:val="single" w:sz="4" w:space="0" w:color="auto"/>
            </w:tcBorders>
          </w:tcPr>
          <w:p w14:paraId="6581923F" w14:textId="77777777" w:rsidR="002B71B0" w:rsidRDefault="002B71B0" w:rsidP="00730AD9">
            <w:pPr>
              <w:rPr>
                <w:sz w:val="20"/>
                <w:szCs w:val="20"/>
              </w:rPr>
            </w:pPr>
          </w:p>
        </w:tc>
        <w:tc>
          <w:tcPr>
            <w:tcW w:w="1272" w:type="dxa"/>
          </w:tcPr>
          <w:p w14:paraId="36D456AD" w14:textId="77777777" w:rsidR="002B71B0" w:rsidRDefault="002B71B0" w:rsidP="00730AD9">
            <w:pPr>
              <w:rPr>
                <w:sz w:val="20"/>
                <w:szCs w:val="20"/>
              </w:rPr>
            </w:pPr>
          </w:p>
        </w:tc>
        <w:tc>
          <w:tcPr>
            <w:tcW w:w="3264" w:type="dxa"/>
            <w:tcBorders>
              <w:top w:val="single" w:sz="4" w:space="0" w:color="auto"/>
            </w:tcBorders>
          </w:tcPr>
          <w:p w14:paraId="0B0DF1E2" w14:textId="77777777" w:rsidR="002B71B0" w:rsidRDefault="002B71B0" w:rsidP="00730AD9">
            <w:pPr>
              <w:rPr>
                <w:sz w:val="20"/>
                <w:szCs w:val="20"/>
              </w:rPr>
            </w:pPr>
          </w:p>
        </w:tc>
        <w:tc>
          <w:tcPr>
            <w:tcW w:w="1412" w:type="dxa"/>
          </w:tcPr>
          <w:p w14:paraId="31052612" w14:textId="77777777" w:rsidR="002B71B0" w:rsidRDefault="002B71B0" w:rsidP="00730AD9">
            <w:pPr>
              <w:rPr>
                <w:sz w:val="20"/>
                <w:szCs w:val="20"/>
              </w:rPr>
            </w:pPr>
          </w:p>
        </w:tc>
      </w:tr>
    </w:tbl>
    <w:p w14:paraId="4823F26D" w14:textId="61CDAC06" w:rsidR="00A36AE1" w:rsidRDefault="002B71B0" w:rsidP="00730AD9">
      <w:pPr>
        <w:jc w:val="center"/>
        <w:rPr>
          <w:sz w:val="20"/>
          <w:szCs w:val="20"/>
        </w:rPr>
        <w:sectPr w:rsidR="00A36AE1" w:rsidSect="00DC28EA">
          <w:headerReference w:type="default" r:id="rId12"/>
          <w:footerReference w:type="default" r:id="rId13"/>
          <w:pgSz w:w="12240" w:h="15840"/>
          <w:pgMar w:top="1440" w:right="1440" w:bottom="1440" w:left="1440" w:header="708" w:footer="708" w:gutter="0"/>
          <w:pgNumType w:start="1"/>
          <w:cols w:space="708"/>
          <w:docGrid w:linePitch="360"/>
        </w:sectPr>
      </w:pPr>
      <w:r>
        <w:rPr>
          <w:sz w:val="20"/>
          <w:szCs w:val="20"/>
        </w:rPr>
        <w:lastRenderedPageBreak/>
        <w:t xml:space="preserve">The accompanying notes are an integral part of these </w:t>
      </w:r>
      <w:r w:rsidR="00D16E49">
        <w:rPr>
          <w:sz w:val="20"/>
          <w:szCs w:val="20"/>
        </w:rPr>
        <w:t xml:space="preserve">condensed </w:t>
      </w:r>
      <w:r>
        <w:rPr>
          <w:sz w:val="20"/>
          <w:szCs w:val="20"/>
        </w:rPr>
        <w:t xml:space="preserve">consolidated </w:t>
      </w:r>
      <w:r w:rsidR="00D16E49">
        <w:rPr>
          <w:sz w:val="20"/>
          <w:szCs w:val="20"/>
        </w:rPr>
        <w:t xml:space="preserve">interim </w:t>
      </w:r>
      <w:r>
        <w:rPr>
          <w:sz w:val="20"/>
          <w:szCs w:val="20"/>
        </w:rPr>
        <w:t>financial statements.</w:t>
      </w:r>
    </w:p>
    <w:p w14:paraId="5BB90618" w14:textId="77777777" w:rsidR="002B71B0" w:rsidRDefault="002B71B0" w:rsidP="00730AD9">
      <w:pPr>
        <w:rPr>
          <w:sz w:val="20"/>
          <w:szCs w:val="20"/>
        </w:rPr>
      </w:pPr>
    </w:p>
    <w:tbl>
      <w:tblPr>
        <w:tblStyle w:val="TableGrid"/>
        <w:tblpPr w:leftFromText="180" w:rightFromText="180" w:horzAnchor="margin" w:tblpXSpec="center" w:tblpY="20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5"/>
        <w:gridCol w:w="1276"/>
        <w:gridCol w:w="1276"/>
        <w:gridCol w:w="1276"/>
      </w:tblGrid>
      <w:tr w:rsidR="00312FB5" w14:paraId="521E9F8D" w14:textId="77777777" w:rsidTr="00BA2C24">
        <w:trPr>
          <w:trHeight w:val="173"/>
        </w:trPr>
        <w:tc>
          <w:tcPr>
            <w:tcW w:w="4253" w:type="dxa"/>
            <w:tcBorders>
              <w:top w:val="double" w:sz="4" w:space="0" w:color="auto"/>
            </w:tcBorders>
          </w:tcPr>
          <w:p w14:paraId="38C6D1BA" w14:textId="77777777" w:rsidR="00312FB5" w:rsidRPr="002D2CC2" w:rsidRDefault="00312FB5" w:rsidP="00BA2C24">
            <w:pPr>
              <w:rPr>
                <w:b/>
                <w:bCs/>
                <w:sz w:val="20"/>
                <w:szCs w:val="20"/>
              </w:rPr>
            </w:pPr>
          </w:p>
        </w:tc>
        <w:tc>
          <w:tcPr>
            <w:tcW w:w="2551" w:type="dxa"/>
            <w:gridSpan w:val="2"/>
            <w:tcBorders>
              <w:top w:val="double" w:sz="4" w:space="0" w:color="auto"/>
            </w:tcBorders>
          </w:tcPr>
          <w:p w14:paraId="3E68A6EF" w14:textId="77777777" w:rsidR="00312FB5" w:rsidRPr="003A7B1D" w:rsidRDefault="00312FB5" w:rsidP="00BA2C24">
            <w:pPr>
              <w:tabs>
                <w:tab w:val="decimal" w:pos="1247"/>
              </w:tabs>
              <w:jc w:val="right"/>
              <w:rPr>
                <w:b/>
                <w:bCs/>
                <w:sz w:val="20"/>
                <w:szCs w:val="20"/>
              </w:rPr>
            </w:pPr>
            <w:r>
              <w:rPr>
                <w:b/>
                <w:bCs/>
                <w:sz w:val="20"/>
                <w:szCs w:val="20"/>
              </w:rPr>
              <w:t>For the three months ended June 30,</w:t>
            </w:r>
          </w:p>
        </w:tc>
        <w:tc>
          <w:tcPr>
            <w:tcW w:w="2552" w:type="dxa"/>
            <w:gridSpan w:val="2"/>
            <w:tcBorders>
              <w:top w:val="double" w:sz="4" w:space="0" w:color="auto"/>
            </w:tcBorders>
          </w:tcPr>
          <w:p w14:paraId="4FD8FAE9" w14:textId="260A1D21" w:rsidR="00312FB5" w:rsidRPr="003A7B1D" w:rsidRDefault="00312FB5" w:rsidP="00BA2C24">
            <w:pPr>
              <w:tabs>
                <w:tab w:val="decimal" w:pos="1247"/>
              </w:tabs>
              <w:jc w:val="right"/>
              <w:rPr>
                <w:b/>
                <w:bCs/>
                <w:sz w:val="20"/>
                <w:szCs w:val="20"/>
              </w:rPr>
            </w:pPr>
            <w:r>
              <w:rPr>
                <w:b/>
                <w:bCs/>
                <w:sz w:val="20"/>
                <w:szCs w:val="20"/>
              </w:rPr>
              <w:t xml:space="preserve">For the six months </w:t>
            </w:r>
            <w:r w:rsidR="00067D31">
              <w:rPr>
                <w:b/>
                <w:bCs/>
                <w:sz w:val="20"/>
                <w:szCs w:val="20"/>
              </w:rPr>
              <w:br/>
            </w:r>
            <w:r>
              <w:rPr>
                <w:b/>
                <w:bCs/>
                <w:sz w:val="20"/>
                <w:szCs w:val="20"/>
              </w:rPr>
              <w:t>ended June 30,</w:t>
            </w:r>
          </w:p>
        </w:tc>
      </w:tr>
      <w:tr w:rsidR="00312FB5" w14:paraId="3CE7ED73" w14:textId="77777777" w:rsidTr="00BA2C24">
        <w:trPr>
          <w:trHeight w:val="173"/>
        </w:trPr>
        <w:tc>
          <w:tcPr>
            <w:tcW w:w="4253" w:type="dxa"/>
            <w:tcBorders>
              <w:bottom w:val="single" w:sz="4" w:space="0" w:color="auto"/>
            </w:tcBorders>
          </w:tcPr>
          <w:p w14:paraId="7BDBB511" w14:textId="77777777" w:rsidR="00312FB5" w:rsidRPr="002D2CC2" w:rsidRDefault="00312FB5" w:rsidP="00312FB5">
            <w:pPr>
              <w:rPr>
                <w:b/>
                <w:bCs/>
                <w:sz w:val="20"/>
                <w:szCs w:val="20"/>
              </w:rPr>
            </w:pPr>
          </w:p>
        </w:tc>
        <w:tc>
          <w:tcPr>
            <w:tcW w:w="1275" w:type="dxa"/>
            <w:tcBorders>
              <w:bottom w:val="single" w:sz="4" w:space="0" w:color="auto"/>
            </w:tcBorders>
          </w:tcPr>
          <w:p w14:paraId="36BE4D01" w14:textId="7D8A5D72" w:rsidR="00312FB5" w:rsidRPr="003A7B1D" w:rsidRDefault="00312FB5" w:rsidP="00312FB5">
            <w:pPr>
              <w:tabs>
                <w:tab w:val="decimal" w:pos="1247"/>
              </w:tabs>
              <w:rPr>
                <w:b/>
                <w:bCs/>
                <w:sz w:val="20"/>
                <w:szCs w:val="20"/>
              </w:rPr>
            </w:pPr>
            <w:r w:rsidRPr="003A7B1D">
              <w:rPr>
                <w:b/>
                <w:bCs/>
                <w:sz w:val="20"/>
                <w:szCs w:val="20"/>
              </w:rPr>
              <w:t>20</w:t>
            </w:r>
            <w:r>
              <w:rPr>
                <w:b/>
                <w:bCs/>
                <w:sz w:val="20"/>
                <w:szCs w:val="20"/>
              </w:rPr>
              <w:t>2</w:t>
            </w:r>
            <w:r w:rsidR="00390FFC">
              <w:rPr>
                <w:b/>
                <w:bCs/>
                <w:sz w:val="20"/>
                <w:szCs w:val="20"/>
              </w:rPr>
              <w:t>1</w:t>
            </w:r>
          </w:p>
        </w:tc>
        <w:tc>
          <w:tcPr>
            <w:tcW w:w="1276" w:type="dxa"/>
            <w:tcBorders>
              <w:bottom w:val="single" w:sz="4" w:space="0" w:color="auto"/>
            </w:tcBorders>
          </w:tcPr>
          <w:p w14:paraId="3D9CF4B5" w14:textId="19EE5A37" w:rsidR="00312FB5" w:rsidRPr="003A7B1D" w:rsidRDefault="00312FB5" w:rsidP="00312FB5">
            <w:pPr>
              <w:tabs>
                <w:tab w:val="decimal" w:pos="1247"/>
              </w:tabs>
              <w:rPr>
                <w:b/>
                <w:bCs/>
                <w:sz w:val="20"/>
                <w:szCs w:val="20"/>
              </w:rPr>
            </w:pPr>
            <w:r w:rsidRPr="003A7B1D">
              <w:rPr>
                <w:b/>
                <w:bCs/>
                <w:sz w:val="20"/>
                <w:szCs w:val="20"/>
              </w:rPr>
              <w:t>20</w:t>
            </w:r>
            <w:r>
              <w:rPr>
                <w:b/>
                <w:bCs/>
                <w:sz w:val="20"/>
                <w:szCs w:val="20"/>
              </w:rPr>
              <w:t>20</w:t>
            </w:r>
          </w:p>
        </w:tc>
        <w:tc>
          <w:tcPr>
            <w:tcW w:w="1276" w:type="dxa"/>
            <w:tcBorders>
              <w:bottom w:val="single" w:sz="4" w:space="0" w:color="auto"/>
            </w:tcBorders>
          </w:tcPr>
          <w:p w14:paraId="49649952" w14:textId="04404A65" w:rsidR="00312FB5" w:rsidRPr="003A7B1D" w:rsidRDefault="00312FB5" w:rsidP="00312FB5">
            <w:pPr>
              <w:tabs>
                <w:tab w:val="decimal" w:pos="1247"/>
              </w:tabs>
              <w:rPr>
                <w:b/>
                <w:bCs/>
                <w:sz w:val="20"/>
                <w:szCs w:val="20"/>
              </w:rPr>
            </w:pPr>
            <w:r w:rsidRPr="003A7B1D">
              <w:rPr>
                <w:b/>
                <w:bCs/>
                <w:sz w:val="20"/>
                <w:szCs w:val="20"/>
              </w:rPr>
              <w:t>20</w:t>
            </w:r>
            <w:r>
              <w:rPr>
                <w:b/>
                <w:bCs/>
                <w:sz w:val="20"/>
                <w:szCs w:val="20"/>
              </w:rPr>
              <w:t>2</w:t>
            </w:r>
            <w:r w:rsidR="00390FFC">
              <w:rPr>
                <w:b/>
                <w:bCs/>
                <w:sz w:val="20"/>
                <w:szCs w:val="20"/>
              </w:rPr>
              <w:t>1</w:t>
            </w:r>
          </w:p>
        </w:tc>
        <w:tc>
          <w:tcPr>
            <w:tcW w:w="1276" w:type="dxa"/>
            <w:tcBorders>
              <w:bottom w:val="single" w:sz="4" w:space="0" w:color="auto"/>
            </w:tcBorders>
          </w:tcPr>
          <w:p w14:paraId="335AC943" w14:textId="079E8791" w:rsidR="00312FB5" w:rsidRPr="003A7B1D" w:rsidRDefault="00312FB5" w:rsidP="00312FB5">
            <w:pPr>
              <w:tabs>
                <w:tab w:val="decimal" w:pos="1247"/>
              </w:tabs>
              <w:rPr>
                <w:b/>
                <w:bCs/>
                <w:sz w:val="20"/>
                <w:szCs w:val="20"/>
              </w:rPr>
            </w:pPr>
            <w:r w:rsidRPr="003A7B1D">
              <w:rPr>
                <w:b/>
                <w:bCs/>
                <w:sz w:val="20"/>
                <w:szCs w:val="20"/>
              </w:rPr>
              <w:t>20</w:t>
            </w:r>
            <w:r>
              <w:rPr>
                <w:b/>
                <w:bCs/>
                <w:sz w:val="20"/>
                <w:szCs w:val="20"/>
              </w:rPr>
              <w:t>20</w:t>
            </w:r>
          </w:p>
        </w:tc>
      </w:tr>
      <w:tr w:rsidR="00312FB5" w14:paraId="4072F68B" w14:textId="77777777" w:rsidTr="00BA2C24">
        <w:trPr>
          <w:trHeight w:val="173"/>
        </w:trPr>
        <w:tc>
          <w:tcPr>
            <w:tcW w:w="4253" w:type="dxa"/>
            <w:tcBorders>
              <w:top w:val="single" w:sz="4" w:space="0" w:color="auto"/>
            </w:tcBorders>
          </w:tcPr>
          <w:p w14:paraId="288D3403" w14:textId="77777777" w:rsidR="00312FB5" w:rsidRDefault="00312FB5" w:rsidP="00312FB5">
            <w:pPr>
              <w:rPr>
                <w:sz w:val="20"/>
                <w:szCs w:val="20"/>
              </w:rPr>
            </w:pPr>
          </w:p>
        </w:tc>
        <w:tc>
          <w:tcPr>
            <w:tcW w:w="1275" w:type="dxa"/>
            <w:tcBorders>
              <w:top w:val="single" w:sz="4" w:space="0" w:color="auto"/>
            </w:tcBorders>
          </w:tcPr>
          <w:p w14:paraId="4C112BC2" w14:textId="77777777" w:rsidR="00312FB5" w:rsidRDefault="00312FB5" w:rsidP="00312FB5">
            <w:pPr>
              <w:rPr>
                <w:sz w:val="20"/>
                <w:szCs w:val="20"/>
              </w:rPr>
            </w:pPr>
          </w:p>
        </w:tc>
        <w:tc>
          <w:tcPr>
            <w:tcW w:w="1276" w:type="dxa"/>
            <w:tcBorders>
              <w:top w:val="single" w:sz="4" w:space="0" w:color="auto"/>
            </w:tcBorders>
          </w:tcPr>
          <w:p w14:paraId="49C8950E" w14:textId="77777777" w:rsidR="00312FB5" w:rsidRDefault="00312FB5" w:rsidP="00312FB5">
            <w:pPr>
              <w:rPr>
                <w:sz w:val="20"/>
                <w:szCs w:val="20"/>
              </w:rPr>
            </w:pPr>
          </w:p>
        </w:tc>
        <w:tc>
          <w:tcPr>
            <w:tcW w:w="1276" w:type="dxa"/>
            <w:tcBorders>
              <w:top w:val="single" w:sz="4" w:space="0" w:color="auto"/>
            </w:tcBorders>
          </w:tcPr>
          <w:p w14:paraId="2F0B2349" w14:textId="77777777" w:rsidR="00312FB5" w:rsidRDefault="00312FB5" w:rsidP="00312FB5">
            <w:pPr>
              <w:rPr>
                <w:sz w:val="20"/>
                <w:szCs w:val="20"/>
              </w:rPr>
            </w:pPr>
          </w:p>
        </w:tc>
        <w:tc>
          <w:tcPr>
            <w:tcW w:w="1276" w:type="dxa"/>
            <w:tcBorders>
              <w:top w:val="single" w:sz="4" w:space="0" w:color="auto"/>
            </w:tcBorders>
          </w:tcPr>
          <w:p w14:paraId="59558242" w14:textId="77777777" w:rsidR="00312FB5" w:rsidRDefault="00312FB5" w:rsidP="00312FB5">
            <w:pPr>
              <w:rPr>
                <w:sz w:val="20"/>
                <w:szCs w:val="20"/>
              </w:rPr>
            </w:pPr>
          </w:p>
        </w:tc>
      </w:tr>
      <w:tr w:rsidR="00390FFC" w14:paraId="6DE1B2EB" w14:textId="77777777" w:rsidTr="00A91A19">
        <w:trPr>
          <w:trHeight w:val="173"/>
        </w:trPr>
        <w:tc>
          <w:tcPr>
            <w:tcW w:w="4253" w:type="dxa"/>
            <w:vAlign w:val="center"/>
          </w:tcPr>
          <w:p w14:paraId="156900CD" w14:textId="6926B3FE" w:rsidR="00390FFC" w:rsidRDefault="00390FFC" w:rsidP="00390FFC">
            <w:pPr>
              <w:rPr>
                <w:sz w:val="20"/>
                <w:szCs w:val="20"/>
              </w:rPr>
            </w:pPr>
            <w:r w:rsidRPr="003004FA">
              <w:rPr>
                <w:color w:val="000000"/>
                <w:sz w:val="20"/>
                <w:szCs w:val="20"/>
              </w:rPr>
              <w:t>Interest revenue</w:t>
            </w:r>
          </w:p>
        </w:tc>
        <w:tc>
          <w:tcPr>
            <w:tcW w:w="1275" w:type="dxa"/>
          </w:tcPr>
          <w:p w14:paraId="785064D4" w14:textId="6508360C" w:rsidR="00390FFC" w:rsidRPr="00D73880" w:rsidRDefault="00390FFC" w:rsidP="00390FFC">
            <w:pPr>
              <w:tabs>
                <w:tab w:val="left" w:pos="0"/>
                <w:tab w:val="decimal" w:pos="936"/>
              </w:tabs>
              <w:rPr>
                <w:sz w:val="20"/>
                <w:szCs w:val="20"/>
              </w:rPr>
            </w:pPr>
          </w:p>
        </w:tc>
        <w:tc>
          <w:tcPr>
            <w:tcW w:w="1276" w:type="dxa"/>
          </w:tcPr>
          <w:p w14:paraId="3F39073C" w14:textId="5B6FA48A" w:rsidR="00390FFC" w:rsidRPr="00D73880" w:rsidRDefault="00390FFC" w:rsidP="00390FFC">
            <w:pPr>
              <w:tabs>
                <w:tab w:val="left" w:pos="0"/>
                <w:tab w:val="decimal" w:pos="936"/>
              </w:tabs>
              <w:rPr>
                <w:sz w:val="20"/>
                <w:szCs w:val="20"/>
              </w:rPr>
            </w:pPr>
          </w:p>
        </w:tc>
        <w:tc>
          <w:tcPr>
            <w:tcW w:w="1276" w:type="dxa"/>
          </w:tcPr>
          <w:p w14:paraId="09D76A22" w14:textId="5DBA9EEC" w:rsidR="00390FFC" w:rsidRPr="00D73880" w:rsidRDefault="00390FFC" w:rsidP="00390FFC">
            <w:pPr>
              <w:tabs>
                <w:tab w:val="left" w:pos="0"/>
                <w:tab w:val="decimal" w:pos="936"/>
              </w:tabs>
              <w:rPr>
                <w:sz w:val="20"/>
                <w:szCs w:val="20"/>
              </w:rPr>
            </w:pPr>
          </w:p>
        </w:tc>
        <w:tc>
          <w:tcPr>
            <w:tcW w:w="1276" w:type="dxa"/>
          </w:tcPr>
          <w:p w14:paraId="280F4BF5" w14:textId="18FDDAAB" w:rsidR="00390FFC" w:rsidRPr="003A7B1D" w:rsidRDefault="00390FFC" w:rsidP="00390FFC">
            <w:pPr>
              <w:tabs>
                <w:tab w:val="left" w:pos="0"/>
                <w:tab w:val="decimal" w:pos="936"/>
              </w:tabs>
              <w:rPr>
                <w:sz w:val="20"/>
                <w:szCs w:val="20"/>
              </w:rPr>
            </w:pPr>
          </w:p>
        </w:tc>
      </w:tr>
      <w:tr w:rsidR="00446755" w14:paraId="7A5141C1" w14:textId="77777777" w:rsidTr="00A91A19">
        <w:trPr>
          <w:trHeight w:val="173"/>
        </w:trPr>
        <w:tc>
          <w:tcPr>
            <w:tcW w:w="4253" w:type="dxa"/>
            <w:vAlign w:val="center"/>
          </w:tcPr>
          <w:p w14:paraId="60DE96C0" w14:textId="0CD40619" w:rsidR="00446755" w:rsidRDefault="00446755" w:rsidP="00446755">
            <w:pPr>
              <w:ind w:left="180"/>
              <w:rPr>
                <w:sz w:val="20"/>
                <w:szCs w:val="20"/>
              </w:rPr>
            </w:pPr>
            <w:r w:rsidRPr="003004FA">
              <w:rPr>
                <w:color w:val="000000"/>
                <w:sz w:val="20"/>
                <w:szCs w:val="20"/>
              </w:rPr>
              <w:t>Loans</w:t>
            </w:r>
          </w:p>
        </w:tc>
        <w:tc>
          <w:tcPr>
            <w:tcW w:w="1275" w:type="dxa"/>
          </w:tcPr>
          <w:p w14:paraId="564A3BC9" w14:textId="7380621E" w:rsidR="00446755" w:rsidRPr="00D73880" w:rsidRDefault="00446755" w:rsidP="00446755">
            <w:pPr>
              <w:tabs>
                <w:tab w:val="left" w:pos="0"/>
                <w:tab w:val="decimal" w:pos="936"/>
              </w:tabs>
              <w:rPr>
                <w:sz w:val="20"/>
                <w:szCs w:val="20"/>
              </w:rPr>
            </w:pPr>
            <w:r w:rsidRPr="00D73880">
              <w:rPr>
                <w:sz w:val="20"/>
                <w:szCs w:val="20"/>
              </w:rPr>
              <w:t>$</w:t>
            </w:r>
            <w:r w:rsidRPr="00D73880">
              <w:rPr>
                <w:sz w:val="20"/>
                <w:szCs w:val="20"/>
              </w:rPr>
              <w:tab/>
            </w:r>
            <w:r>
              <w:rPr>
                <w:sz w:val="20"/>
                <w:szCs w:val="20"/>
              </w:rPr>
              <w:t>167,993</w:t>
            </w:r>
          </w:p>
        </w:tc>
        <w:tc>
          <w:tcPr>
            <w:tcW w:w="1276" w:type="dxa"/>
          </w:tcPr>
          <w:p w14:paraId="78E46768" w14:textId="1F41101D" w:rsidR="00446755" w:rsidRPr="00D73880" w:rsidRDefault="00446755" w:rsidP="00446755">
            <w:pPr>
              <w:tabs>
                <w:tab w:val="left" w:pos="0"/>
                <w:tab w:val="decimal" w:pos="936"/>
              </w:tabs>
              <w:rPr>
                <w:sz w:val="20"/>
                <w:szCs w:val="20"/>
              </w:rPr>
            </w:pPr>
            <w:r w:rsidRPr="00D73880">
              <w:rPr>
                <w:sz w:val="20"/>
                <w:szCs w:val="20"/>
              </w:rPr>
              <w:t>$</w:t>
            </w:r>
            <w:r w:rsidRPr="00D73880">
              <w:rPr>
                <w:sz w:val="20"/>
                <w:szCs w:val="20"/>
              </w:rPr>
              <w:tab/>
            </w:r>
            <w:r>
              <w:rPr>
                <w:sz w:val="20"/>
                <w:szCs w:val="20"/>
              </w:rPr>
              <w:t>185,948</w:t>
            </w:r>
          </w:p>
        </w:tc>
        <w:tc>
          <w:tcPr>
            <w:tcW w:w="1276" w:type="dxa"/>
          </w:tcPr>
          <w:p w14:paraId="6D5FF55E" w14:textId="1E13DBB7" w:rsidR="00446755" w:rsidRPr="00D73880" w:rsidRDefault="00446755" w:rsidP="00446755">
            <w:pPr>
              <w:tabs>
                <w:tab w:val="left" w:pos="0"/>
                <w:tab w:val="decimal" w:pos="936"/>
              </w:tabs>
              <w:rPr>
                <w:sz w:val="20"/>
                <w:szCs w:val="20"/>
              </w:rPr>
            </w:pPr>
            <w:r w:rsidRPr="00D73880">
              <w:rPr>
                <w:sz w:val="20"/>
                <w:szCs w:val="20"/>
              </w:rPr>
              <w:t>$</w:t>
            </w:r>
            <w:r w:rsidRPr="00D73880">
              <w:rPr>
                <w:sz w:val="20"/>
                <w:szCs w:val="20"/>
              </w:rPr>
              <w:tab/>
            </w:r>
            <w:r>
              <w:rPr>
                <w:sz w:val="20"/>
                <w:szCs w:val="20"/>
              </w:rPr>
              <w:t>353,829</w:t>
            </w:r>
          </w:p>
        </w:tc>
        <w:tc>
          <w:tcPr>
            <w:tcW w:w="1276" w:type="dxa"/>
          </w:tcPr>
          <w:p w14:paraId="15550944" w14:textId="7AE0B147" w:rsidR="00446755" w:rsidRPr="00D73880" w:rsidRDefault="00446755" w:rsidP="00446755">
            <w:pPr>
              <w:tabs>
                <w:tab w:val="left" w:pos="0"/>
                <w:tab w:val="decimal" w:pos="936"/>
              </w:tabs>
              <w:rPr>
                <w:sz w:val="20"/>
                <w:szCs w:val="20"/>
              </w:rPr>
            </w:pPr>
            <w:r w:rsidRPr="00D73880">
              <w:rPr>
                <w:sz w:val="20"/>
                <w:szCs w:val="20"/>
              </w:rPr>
              <w:t>$</w:t>
            </w:r>
            <w:r w:rsidRPr="00D73880">
              <w:rPr>
                <w:sz w:val="20"/>
                <w:szCs w:val="20"/>
              </w:rPr>
              <w:tab/>
            </w:r>
            <w:r>
              <w:rPr>
                <w:sz w:val="20"/>
                <w:szCs w:val="20"/>
              </w:rPr>
              <w:t>384,402</w:t>
            </w:r>
          </w:p>
        </w:tc>
      </w:tr>
      <w:tr w:rsidR="00390FFC" w14:paraId="7AE036C7" w14:textId="77777777" w:rsidTr="00390FFC">
        <w:trPr>
          <w:trHeight w:val="173"/>
        </w:trPr>
        <w:tc>
          <w:tcPr>
            <w:tcW w:w="4253" w:type="dxa"/>
            <w:vAlign w:val="center"/>
          </w:tcPr>
          <w:p w14:paraId="01722043" w14:textId="3CFA92FF" w:rsidR="00390FFC" w:rsidRDefault="00390FFC" w:rsidP="00390FFC">
            <w:pPr>
              <w:rPr>
                <w:sz w:val="20"/>
                <w:szCs w:val="20"/>
              </w:rPr>
            </w:pPr>
            <w:r w:rsidRPr="003004FA">
              <w:rPr>
                <w:color w:val="000000"/>
                <w:sz w:val="20"/>
                <w:szCs w:val="20"/>
              </w:rPr>
              <w:t>Interest expense</w:t>
            </w:r>
          </w:p>
        </w:tc>
        <w:tc>
          <w:tcPr>
            <w:tcW w:w="1275" w:type="dxa"/>
          </w:tcPr>
          <w:p w14:paraId="124C6323" w14:textId="77777777" w:rsidR="00390FFC" w:rsidRPr="00D73880" w:rsidRDefault="00390FFC" w:rsidP="00390FFC">
            <w:pPr>
              <w:tabs>
                <w:tab w:val="left" w:pos="0"/>
                <w:tab w:val="decimal" w:pos="936"/>
              </w:tabs>
              <w:rPr>
                <w:sz w:val="20"/>
                <w:szCs w:val="20"/>
              </w:rPr>
            </w:pPr>
          </w:p>
        </w:tc>
        <w:tc>
          <w:tcPr>
            <w:tcW w:w="1276" w:type="dxa"/>
          </w:tcPr>
          <w:p w14:paraId="1784036B" w14:textId="77777777" w:rsidR="00390FFC" w:rsidRPr="00D73880" w:rsidRDefault="00390FFC" w:rsidP="00390FFC">
            <w:pPr>
              <w:tabs>
                <w:tab w:val="left" w:pos="0"/>
                <w:tab w:val="decimal" w:pos="936"/>
              </w:tabs>
              <w:rPr>
                <w:sz w:val="20"/>
                <w:szCs w:val="20"/>
              </w:rPr>
            </w:pPr>
          </w:p>
        </w:tc>
        <w:tc>
          <w:tcPr>
            <w:tcW w:w="1276" w:type="dxa"/>
          </w:tcPr>
          <w:p w14:paraId="3E83ECB6" w14:textId="77777777" w:rsidR="00390FFC" w:rsidRPr="00D73880" w:rsidRDefault="00390FFC" w:rsidP="00390FFC">
            <w:pPr>
              <w:tabs>
                <w:tab w:val="left" w:pos="0"/>
                <w:tab w:val="decimal" w:pos="936"/>
              </w:tabs>
              <w:rPr>
                <w:sz w:val="20"/>
                <w:szCs w:val="20"/>
              </w:rPr>
            </w:pPr>
          </w:p>
        </w:tc>
        <w:tc>
          <w:tcPr>
            <w:tcW w:w="1276" w:type="dxa"/>
          </w:tcPr>
          <w:p w14:paraId="661CD33A" w14:textId="77777777" w:rsidR="00390FFC" w:rsidRPr="00D73880" w:rsidRDefault="00390FFC" w:rsidP="00390FFC">
            <w:pPr>
              <w:tabs>
                <w:tab w:val="left" w:pos="0"/>
                <w:tab w:val="decimal" w:pos="936"/>
              </w:tabs>
              <w:rPr>
                <w:sz w:val="20"/>
                <w:szCs w:val="20"/>
              </w:rPr>
            </w:pPr>
          </w:p>
        </w:tc>
      </w:tr>
      <w:tr w:rsidR="00390FFC" w14:paraId="65AE18B8" w14:textId="77777777" w:rsidTr="00390FFC">
        <w:trPr>
          <w:trHeight w:val="173"/>
        </w:trPr>
        <w:tc>
          <w:tcPr>
            <w:tcW w:w="4253" w:type="dxa"/>
            <w:vAlign w:val="center"/>
          </w:tcPr>
          <w:p w14:paraId="0699D510" w14:textId="5D0E51F1" w:rsidR="00390FFC" w:rsidRDefault="00390FFC" w:rsidP="00390FFC">
            <w:pPr>
              <w:ind w:left="180"/>
              <w:rPr>
                <w:sz w:val="20"/>
                <w:szCs w:val="20"/>
              </w:rPr>
            </w:pPr>
            <w:r w:rsidRPr="003004FA">
              <w:rPr>
                <w:color w:val="000000"/>
                <w:sz w:val="20"/>
                <w:szCs w:val="20"/>
              </w:rPr>
              <w:t>Bonds</w:t>
            </w:r>
          </w:p>
        </w:tc>
        <w:tc>
          <w:tcPr>
            <w:tcW w:w="1275" w:type="dxa"/>
          </w:tcPr>
          <w:p w14:paraId="568F8BAC" w14:textId="53F8C7F4" w:rsidR="00390FFC" w:rsidRPr="00D73880" w:rsidRDefault="00390FFC" w:rsidP="00390FFC">
            <w:pPr>
              <w:tabs>
                <w:tab w:val="decimal" w:pos="936"/>
              </w:tabs>
              <w:rPr>
                <w:sz w:val="20"/>
                <w:szCs w:val="20"/>
              </w:rPr>
            </w:pPr>
            <w:r w:rsidRPr="00D73880">
              <w:rPr>
                <w:sz w:val="20"/>
                <w:szCs w:val="20"/>
              </w:rPr>
              <w:t>(</w:t>
            </w:r>
            <w:r>
              <w:rPr>
                <w:sz w:val="20"/>
                <w:szCs w:val="20"/>
              </w:rPr>
              <w:t>112,477</w:t>
            </w:r>
            <w:r w:rsidRPr="00D73880">
              <w:rPr>
                <w:sz w:val="20"/>
                <w:szCs w:val="20"/>
              </w:rPr>
              <w:t>)</w:t>
            </w:r>
          </w:p>
        </w:tc>
        <w:tc>
          <w:tcPr>
            <w:tcW w:w="1276" w:type="dxa"/>
          </w:tcPr>
          <w:p w14:paraId="5BEE1C8D" w14:textId="02311C30" w:rsidR="00390FFC" w:rsidRPr="00D73880" w:rsidRDefault="00390FFC" w:rsidP="00390FFC">
            <w:pPr>
              <w:tabs>
                <w:tab w:val="decimal" w:pos="936"/>
              </w:tabs>
              <w:rPr>
                <w:sz w:val="20"/>
                <w:szCs w:val="20"/>
              </w:rPr>
            </w:pPr>
            <w:r w:rsidRPr="00D73880">
              <w:rPr>
                <w:sz w:val="20"/>
                <w:szCs w:val="20"/>
              </w:rPr>
              <w:t>(</w:t>
            </w:r>
            <w:r>
              <w:rPr>
                <w:sz w:val="20"/>
                <w:szCs w:val="20"/>
              </w:rPr>
              <w:t>125,011</w:t>
            </w:r>
            <w:r w:rsidRPr="00D73880">
              <w:rPr>
                <w:sz w:val="20"/>
                <w:szCs w:val="20"/>
              </w:rPr>
              <w:t>)</w:t>
            </w:r>
          </w:p>
        </w:tc>
        <w:tc>
          <w:tcPr>
            <w:tcW w:w="1276" w:type="dxa"/>
          </w:tcPr>
          <w:p w14:paraId="58CA299C" w14:textId="5B2228CC" w:rsidR="00390FFC" w:rsidRPr="00D73880" w:rsidRDefault="00390FFC" w:rsidP="00390FFC">
            <w:pPr>
              <w:tabs>
                <w:tab w:val="decimal" w:pos="936"/>
              </w:tabs>
              <w:rPr>
                <w:sz w:val="20"/>
                <w:szCs w:val="20"/>
              </w:rPr>
            </w:pPr>
            <w:r>
              <w:rPr>
                <w:sz w:val="20"/>
                <w:szCs w:val="20"/>
              </w:rPr>
              <w:t>(</w:t>
            </w:r>
            <w:r w:rsidR="00273578">
              <w:rPr>
                <w:sz w:val="20"/>
                <w:szCs w:val="20"/>
              </w:rPr>
              <w:t>257,428</w:t>
            </w:r>
            <w:r w:rsidRPr="00D73880">
              <w:rPr>
                <w:sz w:val="20"/>
                <w:szCs w:val="20"/>
              </w:rPr>
              <w:t>)</w:t>
            </w:r>
          </w:p>
        </w:tc>
        <w:tc>
          <w:tcPr>
            <w:tcW w:w="1276" w:type="dxa"/>
          </w:tcPr>
          <w:p w14:paraId="5EAB1E16" w14:textId="1DB72E90" w:rsidR="00390FFC" w:rsidRPr="003A7B1D" w:rsidRDefault="00390FFC" w:rsidP="00390FFC">
            <w:pPr>
              <w:tabs>
                <w:tab w:val="decimal" w:pos="936"/>
              </w:tabs>
              <w:rPr>
                <w:sz w:val="20"/>
                <w:szCs w:val="20"/>
              </w:rPr>
            </w:pPr>
            <w:r>
              <w:rPr>
                <w:sz w:val="20"/>
                <w:szCs w:val="20"/>
              </w:rPr>
              <w:t>(256,593</w:t>
            </w:r>
            <w:r w:rsidRPr="00D73880">
              <w:rPr>
                <w:sz w:val="20"/>
                <w:szCs w:val="20"/>
              </w:rPr>
              <w:t>)</w:t>
            </w:r>
          </w:p>
        </w:tc>
      </w:tr>
      <w:tr w:rsidR="00312FB5" w:rsidRPr="00C720BB" w14:paraId="17095AC4" w14:textId="77777777" w:rsidTr="00BA2C24">
        <w:trPr>
          <w:trHeight w:val="173"/>
        </w:trPr>
        <w:tc>
          <w:tcPr>
            <w:tcW w:w="4253" w:type="dxa"/>
            <w:tcBorders>
              <w:top w:val="single" w:sz="4" w:space="0" w:color="auto"/>
            </w:tcBorders>
          </w:tcPr>
          <w:p w14:paraId="62F725CE" w14:textId="4F73C1A6" w:rsidR="00312FB5" w:rsidRPr="000D36AC" w:rsidRDefault="00312FB5" w:rsidP="00312FB5">
            <w:pPr>
              <w:rPr>
                <w:b/>
                <w:bCs/>
                <w:sz w:val="20"/>
                <w:szCs w:val="20"/>
              </w:rPr>
            </w:pPr>
            <w:r w:rsidRPr="000D36AC">
              <w:rPr>
                <w:b/>
                <w:bCs/>
                <w:sz w:val="20"/>
                <w:szCs w:val="20"/>
              </w:rPr>
              <w:t>Net interest income</w:t>
            </w:r>
          </w:p>
        </w:tc>
        <w:tc>
          <w:tcPr>
            <w:tcW w:w="1275" w:type="dxa"/>
            <w:tcBorders>
              <w:top w:val="single" w:sz="4" w:space="0" w:color="auto"/>
            </w:tcBorders>
          </w:tcPr>
          <w:p w14:paraId="3E723D4E" w14:textId="76B307F2" w:rsidR="00312FB5" w:rsidRPr="004A4401" w:rsidRDefault="00DD4C7F" w:rsidP="00312FB5">
            <w:pPr>
              <w:tabs>
                <w:tab w:val="decimal" w:pos="936"/>
              </w:tabs>
              <w:rPr>
                <w:sz w:val="20"/>
                <w:szCs w:val="20"/>
              </w:rPr>
            </w:pPr>
            <w:r>
              <w:rPr>
                <w:sz w:val="20"/>
                <w:szCs w:val="20"/>
              </w:rPr>
              <w:t>55,516</w:t>
            </w:r>
          </w:p>
        </w:tc>
        <w:tc>
          <w:tcPr>
            <w:tcW w:w="1276" w:type="dxa"/>
            <w:tcBorders>
              <w:top w:val="single" w:sz="4" w:space="0" w:color="auto"/>
            </w:tcBorders>
          </w:tcPr>
          <w:p w14:paraId="3FA6C1A3" w14:textId="4D44B3C4" w:rsidR="00312FB5" w:rsidRPr="00E92DA9" w:rsidRDefault="00DD4C7F" w:rsidP="00312FB5">
            <w:pPr>
              <w:tabs>
                <w:tab w:val="decimal" w:pos="936"/>
              </w:tabs>
              <w:rPr>
                <w:sz w:val="20"/>
                <w:szCs w:val="20"/>
              </w:rPr>
            </w:pPr>
            <w:r>
              <w:rPr>
                <w:sz w:val="20"/>
                <w:szCs w:val="20"/>
              </w:rPr>
              <w:t>60,937</w:t>
            </w:r>
          </w:p>
        </w:tc>
        <w:tc>
          <w:tcPr>
            <w:tcW w:w="1276" w:type="dxa"/>
            <w:tcBorders>
              <w:top w:val="single" w:sz="4" w:space="0" w:color="auto"/>
            </w:tcBorders>
          </w:tcPr>
          <w:p w14:paraId="7B5F5E0E" w14:textId="5FB152EC" w:rsidR="00312FB5" w:rsidRPr="00E92DA9" w:rsidRDefault="00DD4C7F" w:rsidP="00312FB5">
            <w:pPr>
              <w:tabs>
                <w:tab w:val="decimal" w:pos="936"/>
              </w:tabs>
              <w:ind w:right="-323"/>
              <w:rPr>
                <w:sz w:val="20"/>
                <w:szCs w:val="20"/>
              </w:rPr>
            </w:pPr>
            <w:r>
              <w:rPr>
                <w:sz w:val="20"/>
                <w:szCs w:val="20"/>
              </w:rPr>
              <w:t>96,401</w:t>
            </w:r>
          </w:p>
        </w:tc>
        <w:tc>
          <w:tcPr>
            <w:tcW w:w="1276" w:type="dxa"/>
            <w:tcBorders>
              <w:top w:val="single" w:sz="4" w:space="0" w:color="auto"/>
            </w:tcBorders>
          </w:tcPr>
          <w:p w14:paraId="14A8491B" w14:textId="30C71714" w:rsidR="00312FB5" w:rsidRPr="00E92DA9" w:rsidRDefault="00DD4C7F" w:rsidP="00312FB5">
            <w:pPr>
              <w:tabs>
                <w:tab w:val="decimal" w:pos="936"/>
              </w:tabs>
              <w:rPr>
                <w:sz w:val="20"/>
                <w:szCs w:val="20"/>
              </w:rPr>
            </w:pPr>
            <w:r>
              <w:rPr>
                <w:sz w:val="20"/>
                <w:szCs w:val="20"/>
              </w:rPr>
              <w:t>127,809</w:t>
            </w:r>
          </w:p>
        </w:tc>
      </w:tr>
      <w:tr w:rsidR="00312FB5" w14:paraId="557431DC" w14:textId="77777777" w:rsidTr="00BA2C24">
        <w:trPr>
          <w:trHeight w:val="173"/>
        </w:trPr>
        <w:tc>
          <w:tcPr>
            <w:tcW w:w="4253" w:type="dxa"/>
          </w:tcPr>
          <w:p w14:paraId="5CEBCF64" w14:textId="77777777" w:rsidR="00312FB5" w:rsidRDefault="00312FB5" w:rsidP="00312FB5">
            <w:pPr>
              <w:rPr>
                <w:sz w:val="20"/>
                <w:szCs w:val="20"/>
              </w:rPr>
            </w:pPr>
          </w:p>
        </w:tc>
        <w:tc>
          <w:tcPr>
            <w:tcW w:w="1275" w:type="dxa"/>
          </w:tcPr>
          <w:p w14:paraId="5D802663" w14:textId="77777777" w:rsidR="00312FB5" w:rsidRPr="00D73880" w:rsidRDefault="00312FB5" w:rsidP="00312FB5">
            <w:pPr>
              <w:tabs>
                <w:tab w:val="decimal" w:pos="936"/>
              </w:tabs>
              <w:rPr>
                <w:sz w:val="20"/>
                <w:szCs w:val="20"/>
              </w:rPr>
            </w:pPr>
          </w:p>
        </w:tc>
        <w:tc>
          <w:tcPr>
            <w:tcW w:w="1276" w:type="dxa"/>
          </w:tcPr>
          <w:p w14:paraId="184D95DC" w14:textId="77777777" w:rsidR="00312FB5" w:rsidRPr="00D73880" w:rsidRDefault="00312FB5" w:rsidP="00312FB5">
            <w:pPr>
              <w:tabs>
                <w:tab w:val="decimal" w:pos="936"/>
              </w:tabs>
              <w:rPr>
                <w:sz w:val="20"/>
                <w:szCs w:val="20"/>
              </w:rPr>
            </w:pPr>
          </w:p>
        </w:tc>
        <w:tc>
          <w:tcPr>
            <w:tcW w:w="1276" w:type="dxa"/>
          </w:tcPr>
          <w:p w14:paraId="737ACFFE" w14:textId="77777777" w:rsidR="00312FB5" w:rsidRPr="00D73880" w:rsidRDefault="00312FB5" w:rsidP="00312FB5">
            <w:pPr>
              <w:tabs>
                <w:tab w:val="decimal" w:pos="936"/>
              </w:tabs>
              <w:rPr>
                <w:sz w:val="20"/>
                <w:szCs w:val="20"/>
              </w:rPr>
            </w:pPr>
          </w:p>
        </w:tc>
        <w:tc>
          <w:tcPr>
            <w:tcW w:w="1276" w:type="dxa"/>
          </w:tcPr>
          <w:p w14:paraId="498A3085" w14:textId="77777777" w:rsidR="00312FB5" w:rsidRDefault="00312FB5" w:rsidP="00312FB5">
            <w:pPr>
              <w:tabs>
                <w:tab w:val="decimal" w:pos="936"/>
              </w:tabs>
              <w:rPr>
                <w:sz w:val="20"/>
                <w:szCs w:val="20"/>
              </w:rPr>
            </w:pPr>
          </w:p>
        </w:tc>
      </w:tr>
      <w:tr w:rsidR="009100D0" w14:paraId="3822D9D3" w14:textId="77777777" w:rsidTr="00C654C9">
        <w:trPr>
          <w:trHeight w:val="173"/>
        </w:trPr>
        <w:tc>
          <w:tcPr>
            <w:tcW w:w="4253" w:type="dxa"/>
            <w:vAlign w:val="center"/>
          </w:tcPr>
          <w:p w14:paraId="4D63FDED" w14:textId="2C7C2883" w:rsidR="009100D0" w:rsidRPr="0093288B" w:rsidRDefault="009100D0" w:rsidP="008C65E0">
            <w:pPr>
              <w:rPr>
                <w:sz w:val="20"/>
                <w:szCs w:val="20"/>
              </w:rPr>
            </w:pPr>
            <w:r w:rsidRPr="003004FA">
              <w:rPr>
                <w:color w:val="000000"/>
                <w:sz w:val="20"/>
                <w:szCs w:val="20"/>
              </w:rPr>
              <w:t>Subscription fees</w:t>
            </w:r>
          </w:p>
        </w:tc>
        <w:tc>
          <w:tcPr>
            <w:tcW w:w="1275" w:type="dxa"/>
          </w:tcPr>
          <w:p w14:paraId="101158D9" w14:textId="6E2863D8" w:rsidR="009100D0" w:rsidRDefault="009100D0" w:rsidP="009100D0">
            <w:pPr>
              <w:tabs>
                <w:tab w:val="decimal" w:pos="936"/>
              </w:tabs>
              <w:rPr>
                <w:sz w:val="20"/>
                <w:szCs w:val="20"/>
              </w:rPr>
            </w:pPr>
            <w:r>
              <w:rPr>
                <w:sz w:val="20"/>
                <w:szCs w:val="20"/>
              </w:rPr>
              <w:t>78,265</w:t>
            </w:r>
          </w:p>
        </w:tc>
        <w:tc>
          <w:tcPr>
            <w:tcW w:w="1276" w:type="dxa"/>
            <w:vAlign w:val="center"/>
          </w:tcPr>
          <w:p w14:paraId="048A37F4" w14:textId="506E6DDD" w:rsidR="009100D0" w:rsidRDefault="009100D0" w:rsidP="009100D0">
            <w:pPr>
              <w:tabs>
                <w:tab w:val="decimal" w:pos="936"/>
              </w:tabs>
              <w:rPr>
                <w:sz w:val="20"/>
                <w:szCs w:val="20"/>
              </w:rPr>
            </w:pPr>
            <w:r>
              <w:rPr>
                <w:color w:val="000000"/>
                <w:sz w:val="20"/>
                <w:szCs w:val="20"/>
              </w:rPr>
              <w:t>44,098</w:t>
            </w:r>
          </w:p>
        </w:tc>
        <w:tc>
          <w:tcPr>
            <w:tcW w:w="1276" w:type="dxa"/>
            <w:vAlign w:val="center"/>
          </w:tcPr>
          <w:p w14:paraId="45914B2E" w14:textId="7D234C6F" w:rsidR="009100D0" w:rsidRDefault="009100D0" w:rsidP="009100D0">
            <w:pPr>
              <w:tabs>
                <w:tab w:val="decimal" w:pos="936"/>
              </w:tabs>
              <w:rPr>
                <w:sz w:val="20"/>
                <w:szCs w:val="20"/>
              </w:rPr>
            </w:pPr>
            <w:r>
              <w:rPr>
                <w:color w:val="000000"/>
                <w:sz w:val="20"/>
                <w:szCs w:val="20"/>
              </w:rPr>
              <w:t>205,108</w:t>
            </w:r>
          </w:p>
        </w:tc>
        <w:tc>
          <w:tcPr>
            <w:tcW w:w="1276" w:type="dxa"/>
            <w:vAlign w:val="center"/>
          </w:tcPr>
          <w:p w14:paraId="71FDFEBF" w14:textId="4E382739" w:rsidR="009100D0" w:rsidRDefault="009100D0" w:rsidP="009100D0">
            <w:pPr>
              <w:tabs>
                <w:tab w:val="decimal" w:pos="936"/>
              </w:tabs>
              <w:rPr>
                <w:sz w:val="20"/>
                <w:szCs w:val="20"/>
              </w:rPr>
            </w:pPr>
            <w:r>
              <w:rPr>
                <w:color w:val="000000"/>
                <w:sz w:val="20"/>
                <w:szCs w:val="20"/>
              </w:rPr>
              <w:t>76,223</w:t>
            </w:r>
          </w:p>
        </w:tc>
      </w:tr>
      <w:tr w:rsidR="009100D0" w14:paraId="68CC61BA" w14:textId="77777777" w:rsidTr="00C654C9">
        <w:trPr>
          <w:trHeight w:val="173"/>
        </w:trPr>
        <w:tc>
          <w:tcPr>
            <w:tcW w:w="4253" w:type="dxa"/>
            <w:vAlign w:val="center"/>
          </w:tcPr>
          <w:p w14:paraId="47309D5F" w14:textId="322AF891" w:rsidR="009100D0" w:rsidRPr="0093288B" w:rsidRDefault="009100D0" w:rsidP="008C65E0">
            <w:pPr>
              <w:rPr>
                <w:sz w:val="20"/>
                <w:szCs w:val="20"/>
              </w:rPr>
            </w:pPr>
            <w:r w:rsidRPr="003004FA">
              <w:rPr>
                <w:color w:val="000000"/>
                <w:sz w:val="20"/>
                <w:szCs w:val="20"/>
              </w:rPr>
              <w:t>Service fees and other</w:t>
            </w:r>
          </w:p>
        </w:tc>
        <w:tc>
          <w:tcPr>
            <w:tcW w:w="1275" w:type="dxa"/>
          </w:tcPr>
          <w:p w14:paraId="2F121550" w14:textId="7B423E56" w:rsidR="009100D0" w:rsidRDefault="009100D0" w:rsidP="009100D0">
            <w:pPr>
              <w:tabs>
                <w:tab w:val="decimal" w:pos="936"/>
              </w:tabs>
              <w:rPr>
                <w:sz w:val="20"/>
                <w:szCs w:val="20"/>
              </w:rPr>
            </w:pPr>
            <w:r>
              <w:rPr>
                <w:sz w:val="20"/>
                <w:szCs w:val="20"/>
              </w:rPr>
              <w:t>10,831</w:t>
            </w:r>
          </w:p>
        </w:tc>
        <w:tc>
          <w:tcPr>
            <w:tcW w:w="1276" w:type="dxa"/>
            <w:vAlign w:val="center"/>
          </w:tcPr>
          <w:p w14:paraId="63C862B2" w14:textId="37798895" w:rsidR="009100D0" w:rsidRDefault="009100D0" w:rsidP="009100D0">
            <w:pPr>
              <w:tabs>
                <w:tab w:val="decimal" w:pos="936"/>
              </w:tabs>
              <w:rPr>
                <w:sz w:val="20"/>
                <w:szCs w:val="20"/>
              </w:rPr>
            </w:pPr>
            <w:r>
              <w:rPr>
                <w:color w:val="000000"/>
                <w:sz w:val="20"/>
                <w:szCs w:val="20"/>
              </w:rPr>
              <w:t>25,957</w:t>
            </w:r>
          </w:p>
        </w:tc>
        <w:tc>
          <w:tcPr>
            <w:tcW w:w="1276" w:type="dxa"/>
            <w:vAlign w:val="center"/>
          </w:tcPr>
          <w:p w14:paraId="197F2F31" w14:textId="5B459AEF" w:rsidR="009100D0" w:rsidRDefault="009100D0" w:rsidP="009100D0">
            <w:pPr>
              <w:tabs>
                <w:tab w:val="decimal" w:pos="936"/>
              </w:tabs>
              <w:rPr>
                <w:sz w:val="20"/>
                <w:szCs w:val="20"/>
              </w:rPr>
            </w:pPr>
            <w:r>
              <w:rPr>
                <w:color w:val="000000"/>
                <w:sz w:val="20"/>
                <w:szCs w:val="20"/>
              </w:rPr>
              <w:t>26,561</w:t>
            </w:r>
          </w:p>
        </w:tc>
        <w:tc>
          <w:tcPr>
            <w:tcW w:w="1276" w:type="dxa"/>
            <w:vAlign w:val="center"/>
          </w:tcPr>
          <w:p w14:paraId="3F422D30" w14:textId="1855ABE0" w:rsidR="009100D0" w:rsidRDefault="009100D0" w:rsidP="009100D0">
            <w:pPr>
              <w:tabs>
                <w:tab w:val="decimal" w:pos="936"/>
              </w:tabs>
              <w:rPr>
                <w:sz w:val="20"/>
                <w:szCs w:val="20"/>
              </w:rPr>
            </w:pPr>
            <w:r>
              <w:rPr>
                <w:color w:val="000000"/>
                <w:sz w:val="20"/>
                <w:szCs w:val="20"/>
              </w:rPr>
              <w:t>80,165</w:t>
            </w:r>
          </w:p>
        </w:tc>
      </w:tr>
      <w:tr w:rsidR="009100D0" w14:paraId="3B3ECDB5" w14:textId="77777777" w:rsidTr="00C654C9">
        <w:trPr>
          <w:trHeight w:val="173"/>
        </w:trPr>
        <w:tc>
          <w:tcPr>
            <w:tcW w:w="4253" w:type="dxa"/>
          </w:tcPr>
          <w:p w14:paraId="6248598E" w14:textId="77777777" w:rsidR="009100D0" w:rsidRPr="0093288B" w:rsidRDefault="009100D0" w:rsidP="008C65E0">
            <w:pPr>
              <w:rPr>
                <w:sz w:val="20"/>
                <w:szCs w:val="20"/>
              </w:rPr>
            </w:pPr>
            <w:r>
              <w:rPr>
                <w:sz w:val="20"/>
                <w:szCs w:val="20"/>
              </w:rPr>
              <w:t>Verification fees</w:t>
            </w:r>
          </w:p>
        </w:tc>
        <w:tc>
          <w:tcPr>
            <w:tcW w:w="1275" w:type="dxa"/>
          </w:tcPr>
          <w:p w14:paraId="0CA08D95" w14:textId="39D4980F" w:rsidR="009100D0" w:rsidRDefault="009100D0" w:rsidP="009100D0">
            <w:pPr>
              <w:tabs>
                <w:tab w:val="decimal" w:pos="936"/>
              </w:tabs>
              <w:rPr>
                <w:sz w:val="20"/>
                <w:szCs w:val="20"/>
              </w:rPr>
            </w:pPr>
            <w:r>
              <w:rPr>
                <w:sz w:val="20"/>
                <w:szCs w:val="20"/>
              </w:rPr>
              <w:t>125,298</w:t>
            </w:r>
          </w:p>
        </w:tc>
        <w:tc>
          <w:tcPr>
            <w:tcW w:w="1276" w:type="dxa"/>
            <w:vAlign w:val="center"/>
          </w:tcPr>
          <w:p w14:paraId="06643D50" w14:textId="4C79990A" w:rsidR="009100D0" w:rsidRDefault="009100D0" w:rsidP="009100D0">
            <w:pPr>
              <w:tabs>
                <w:tab w:val="decimal" w:pos="936"/>
              </w:tabs>
              <w:rPr>
                <w:sz w:val="20"/>
                <w:szCs w:val="20"/>
              </w:rPr>
            </w:pPr>
            <w:r>
              <w:rPr>
                <w:color w:val="000000"/>
                <w:sz w:val="20"/>
                <w:szCs w:val="20"/>
              </w:rPr>
              <w:t>-</w:t>
            </w:r>
          </w:p>
        </w:tc>
        <w:tc>
          <w:tcPr>
            <w:tcW w:w="1276" w:type="dxa"/>
            <w:vAlign w:val="center"/>
          </w:tcPr>
          <w:p w14:paraId="4E90D1AC" w14:textId="29AF7D2E" w:rsidR="009100D0" w:rsidRDefault="009100D0" w:rsidP="009100D0">
            <w:pPr>
              <w:tabs>
                <w:tab w:val="decimal" w:pos="936"/>
              </w:tabs>
              <w:rPr>
                <w:sz w:val="20"/>
                <w:szCs w:val="20"/>
              </w:rPr>
            </w:pPr>
            <w:r>
              <w:rPr>
                <w:color w:val="000000"/>
                <w:sz w:val="20"/>
                <w:szCs w:val="20"/>
              </w:rPr>
              <w:t>125,298</w:t>
            </w:r>
          </w:p>
        </w:tc>
        <w:tc>
          <w:tcPr>
            <w:tcW w:w="1276" w:type="dxa"/>
            <w:vAlign w:val="center"/>
          </w:tcPr>
          <w:p w14:paraId="24C88263" w14:textId="4C620828" w:rsidR="009100D0" w:rsidRDefault="009100D0" w:rsidP="009100D0">
            <w:pPr>
              <w:tabs>
                <w:tab w:val="decimal" w:pos="936"/>
              </w:tabs>
              <w:rPr>
                <w:sz w:val="20"/>
                <w:szCs w:val="20"/>
              </w:rPr>
            </w:pPr>
            <w:r>
              <w:rPr>
                <w:color w:val="000000"/>
                <w:sz w:val="20"/>
                <w:szCs w:val="20"/>
              </w:rPr>
              <w:t>-</w:t>
            </w:r>
          </w:p>
        </w:tc>
      </w:tr>
      <w:tr w:rsidR="009100D0" w14:paraId="11FDE384" w14:textId="77777777" w:rsidTr="00C72E9F">
        <w:trPr>
          <w:trHeight w:val="173"/>
        </w:trPr>
        <w:tc>
          <w:tcPr>
            <w:tcW w:w="4253" w:type="dxa"/>
            <w:tcBorders>
              <w:top w:val="single" w:sz="4" w:space="0" w:color="auto"/>
              <w:bottom w:val="single" w:sz="4" w:space="0" w:color="auto"/>
            </w:tcBorders>
          </w:tcPr>
          <w:p w14:paraId="14A86326" w14:textId="60CD30F5" w:rsidR="009100D0" w:rsidRPr="0093288B" w:rsidRDefault="009100D0" w:rsidP="009100D0">
            <w:pPr>
              <w:rPr>
                <w:b/>
                <w:bCs/>
                <w:sz w:val="20"/>
                <w:szCs w:val="20"/>
              </w:rPr>
            </w:pPr>
            <w:r w:rsidRPr="0093288B">
              <w:rPr>
                <w:b/>
                <w:bCs/>
                <w:sz w:val="20"/>
                <w:szCs w:val="20"/>
              </w:rPr>
              <w:t>Total</w:t>
            </w:r>
            <w:r>
              <w:rPr>
                <w:b/>
                <w:bCs/>
                <w:sz w:val="20"/>
                <w:szCs w:val="20"/>
              </w:rPr>
              <w:t xml:space="preserve"> </w:t>
            </w:r>
            <w:r w:rsidR="00DD4C7F">
              <w:rPr>
                <w:b/>
                <w:bCs/>
                <w:sz w:val="20"/>
                <w:szCs w:val="20"/>
              </w:rPr>
              <w:t>revenues</w:t>
            </w:r>
          </w:p>
        </w:tc>
        <w:tc>
          <w:tcPr>
            <w:tcW w:w="1275" w:type="dxa"/>
            <w:tcBorders>
              <w:top w:val="single" w:sz="4" w:space="0" w:color="auto"/>
              <w:bottom w:val="single" w:sz="4" w:space="0" w:color="auto"/>
            </w:tcBorders>
          </w:tcPr>
          <w:p w14:paraId="1AF06E91" w14:textId="3ADC06EA" w:rsidR="009100D0" w:rsidRDefault="00DD4C7F" w:rsidP="009100D0">
            <w:pPr>
              <w:tabs>
                <w:tab w:val="decimal" w:pos="936"/>
              </w:tabs>
              <w:rPr>
                <w:sz w:val="20"/>
                <w:szCs w:val="20"/>
              </w:rPr>
            </w:pPr>
            <w:r>
              <w:rPr>
                <w:sz w:val="20"/>
                <w:szCs w:val="20"/>
              </w:rPr>
              <w:t>269,910</w:t>
            </w:r>
          </w:p>
        </w:tc>
        <w:tc>
          <w:tcPr>
            <w:tcW w:w="1276" w:type="dxa"/>
            <w:tcBorders>
              <w:top w:val="single" w:sz="4" w:space="0" w:color="auto"/>
              <w:bottom w:val="single" w:sz="4" w:space="0" w:color="auto"/>
            </w:tcBorders>
            <w:vAlign w:val="center"/>
          </w:tcPr>
          <w:p w14:paraId="14CE6847" w14:textId="260205AB" w:rsidR="009100D0" w:rsidRDefault="00DD4C7F" w:rsidP="009100D0">
            <w:pPr>
              <w:tabs>
                <w:tab w:val="decimal" w:pos="936"/>
              </w:tabs>
              <w:ind w:right="462"/>
              <w:rPr>
                <w:sz w:val="20"/>
                <w:szCs w:val="20"/>
              </w:rPr>
            </w:pPr>
            <w:r>
              <w:rPr>
                <w:color w:val="000000"/>
                <w:sz w:val="20"/>
                <w:szCs w:val="20"/>
              </w:rPr>
              <w:t>130,992</w:t>
            </w:r>
          </w:p>
        </w:tc>
        <w:tc>
          <w:tcPr>
            <w:tcW w:w="1276" w:type="dxa"/>
            <w:tcBorders>
              <w:top w:val="single" w:sz="4" w:space="0" w:color="auto"/>
              <w:bottom w:val="single" w:sz="4" w:space="0" w:color="auto"/>
            </w:tcBorders>
          </w:tcPr>
          <w:p w14:paraId="4D8316BA" w14:textId="36A02F9D" w:rsidR="009100D0" w:rsidRPr="00D73880" w:rsidRDefault="00DD4C7F" w:rsidP="009100D0">
            <w:pPr>
              <w:tabs>
                <w:tab w:val="decimal" w:pos="936"/>
              </w:tabs>
              <w:rPr>
                <w:sz w:val="20"/>
                <w:szCs w:val="20"/>
              </w:rPr>
            </w:pPr>
            <w:r>
              <w:rPr>
                <w:sz w:val="20"/>
                <w:szCs w:val="20"/>
              </w:rPr>
              <w:t>453,368</w:t>
            </w:r>
          </w:p>
        </w:tc>
        <w:tc>
          <w:tcPr>
            <w:tcW w:w="1276" w:type="dxa"/>
            <w:tcBorders>
              <w:top w:val="single" w:sz="4" w:space="0" w:color="auto"/>
              <w:bottom w:val="single" w:sz="4" w:space="0" w:color="auto"/>
            </w:tcBorders>
          </w:tcPr>
          <w:p w14:paraId="390BBA7B" w14:textId="122C0BEF" w:rsidR="009100D0" w:rsidRPr="003A7B1D" w:rsidRDefault="00DD4C7F" w:rsidP="009100D0">
            <w:pPr>
              <w:tabs>
                <w:tab w:val="decimal" w:pos="936"/>
              </w:tabs>
              <w:rPr>
                <w:sz w:val="20"/>
                <w:szCs w:val="20"/>
              </w:rPr>
            </w:pPr>
            <w:r>
              <w:rPr>
                <w:sz w:val="20"/>
                <w:szCs w:val="20"/>
              </w:rPr>
              <w:t>284,197</w:t>
            </w:r>
          </w:p>
        </w:tc>
      </w:tr>
      <w:tr w:rsidR="00390FFC" w14:paraId="308531BD" w14:textId="77777777" w:rsidTr="00BA2C24">
        <w:trPr>
          <w:trHeight w:val="173"/>
        </w:trPr>
        <w:tc>
          <w:tcPr>
            <w:tcW w:w="4253" w:type="dxa"/>
          </w:tcPr>
          <w:p w14:paraId="540E08D5" w14:textId="77777777" w:rsidR="00390FFC" w:rsidRDefault="00390FFC" w:rsidP="00390FFC">
            <w:pPr>
              <w:rPr>
                <w:sz w:val="20"/>
                <w:szCs w:val="20"/>
              </w:rPr>
            </w:pPr>
          </w:p>
        </w:tc>
        <w:tc>
          <w:tcPr>
            <w:tcW w:w="1275" w:type="dxa"/>
          </w:tcPr>
          <w:p w14:paraId="3975B0F7" w14:textId="77777777" w:rsidR="00390FFC" w:rsidRPr="00D73880" w:rsidRDefault="00390FFC" w:rsidP="00390FFC">
            <w:pPr>
              <w:tabs>
                <w:tab w:val="decimal" w:pos="936"/>
              </w:tabs>
              <w:rPr>
                <w:sz w:val="20"/>
                <w:szCs w:val="20"/>
              </w:rPr>
            </w:pPr>
          </w:p>
        </w:tc>
        <w:tc>
          <w:tcPr>
            <w:tcW w:w="1276" w:type="dxa"/>
          </w:tcPr>
          <w:p w14:paraId="7312C88C" w14:textId="77777777" w:rsidR="00390FFC" w:rsidRPr="00D73880" w:rsidRDefault="00390FFC" w:rsidP="00390FFC">
            <w:pPr>
              <w:tabs>
                <w:tab w:val="decimal" w:pos="936"/>
              </w:tabs>
              <w:rPr>
                <w:sz w:val="20"/>
                <w:szCs w:val="20"/>
              </w:rPr>
            </w:pPr>
          </w:p>
        </w:tc>
        <w:tc>
          <w:tcPr>
            <w:tcW w:w="1276" w:type="dxa"/>
          </w:tcPr>
          <w:p w14:paraId="32A49460" w14:textId="77777777" w:rsidR="00390FFC" w:rsidRPr="00D73880" w:rsidRDefault="00390FFC" w:rsidP="00390FFC">
            <w:pPr>
              <w:tabs>
                <w:tab w:val="decimal" w:pos="936"/>
              </w:tabs>
              <w:rPr>
                <w:sz w:val="20"/>
                <w:szCs w:val="20"/>
              </w:rPr>
            </w:pPr>
          </w:p>
        </w:tc>
        <w:tc>
          <w:tcPr>
            <w:tcW w:w="1276" w:type="dxa"/>
          </w:tcPr>
          <w:p w14:paraId="6EDD07E8" w14:textId="77777777" w:rsidR="00390FFC" w:rsidRPr="003A7B1D" w:rsidRDefault="00390FFC" w:rsidP="00390FFC">
            <w:pPr>
              <w:tabs>
                <w:tab w:val="decimal" w:pos="936"/>
              </w:tabs>
              <w:rPr>
                <w:sz w:val="20"/>
                <w:szCs w:val="20"/>
              </w:rPr>
            </w:pPr>
          </w:p>
        </w:tc>
      </w:tr>
      <w:tr w:rsidR="00390FFC" w14:paraId="25AF9D92" w14:textId="77777777" w:rsidTr="00BA2C24">
        <w:trPr>
          <w:trHeight w:val="173"/>
        </w:trPr>
        <w:tc>
          <w:tcPr>
            <w:tcW w:w="4253" w:type="dxa"/>
            <w:tcBorders>
              <w:bottom w:val="single" w:sz="4" w:space="0" w:color="auto"/>
            </w:tcBorders>
          </w:tcPr>
          <w:p w14:paraId="00D1ED37" w14:textId="663335E0" w:rsidR="00390FFC" w:rsidRPr="00255D66" w:rsidRDefault="00390FFC" w:rsidP="00390FFC">
            <w:pPr>
              <w:rPr>
                <w:b/>
                <w:bCs/>
                <w:sz w:val="20"/>
                <w:szCs w:val="20"/>
              </w:rPr>
            </w:pPr>
            <w:r>
              <w:rPr>
                <w:b/>
                <w:bCs/>
                <w:sz w:val="20"/>
                <w:szCs w:val="20"/>
              </w:rPr>
              <w:t>Bad debts</w:t>
            </w:r>
            <w:r w:rsidR="007E2FAB">
              <w:rPr>
                <w:b/>
                <w:bCs/>
                <w:sz w:val="20"/>
                <w:szCs w:val="20"/>
              </w:rPr>
              <w:t xml:space="preserve"> (expense) recovery</w:t>
            </w:r>
            <w:r w:rsidR="004744BE">
              <w:rPr>
                <w:b/>
                <w:bCs/>
                <w:sz w:val="20"/>
                <w:szCs w:val="20"/>
              </w:rPr>
              <w:t xml:space="preserve"> </w:t>
            </w:r>
            <w:r>
              <w:rPr>
                <w:b/>
                <w:bCs/>
                <w:sz w:val="20"/>
                <w:szCs w:val="20"/>
              </w:rPr>
              <w:t>and allowance for loan impairment</w:t>
            </w:r>
          </w:p>
        </w:tc>
        <w:tc>
          <w:tcPr>
            <w:tcW w:w="1275" w:type="dxa"/>
            <w:tcBorders>
              <w:bottom w:val="single" w:sz="4" w:space="0" w:color="auto"/>
            </w:tcBorders>
          </w:tcPr>
          <w:p w14:paraId="08630B59" w14:textId="77777777" w:rsidR="004744BE" w:rsidRDefault="004744BE" w:rsidP="00390FFC">
            <w:pPr>
              <w:tabs>
                <w:tab w:val="decimal" w:pos="936"/>
              </w:tabs>
              <w:rPr>
                <w:sz w:val="20"/>
                <w:szCs w:val="20"/>
              </w:rPr>
            </w:pPr>
          </w:p>
          <w:p w14:paraId="10860A62" w14:textId="12A96F9F" w:rsidR="00390FFC" w:rsidRDefault="00390FFC" w:rsidP="00390FFC">
            <w:pPr>
              <w:tabs>
                <w:tab w:val="decimal" w:pos="936"/>
              </w:tabs>
              <w:rPr>
                <w:sz w:val="20"/>
                <w:szCs w:val="20"/>
              </w:rPr>
            </w:pPr>
            <w:r>
              <w:rPr>
                <w:sz w:val="20"/>
                <w:szCs w:val="20"/>
              </w:rPr>
              <w:t>15,381</w:t>
            </w:r>
          </w:p>
        </w:tc>
        <w:tc>
          <w:tcPr>
            <w:tcW w:w="1276" w:type="dxa"/>
            <w:tcBorders>
              <w:bottom w:val="single" w:sz="4" w:space="0" w:color="auto"/>
            </w:tcBorders>
          </w:tcPr>
          <w:p w14:paraId="3B9A5635" w14:textId="77777777" w:rsidR="004744BE" w:rsidRDefault="004744BE" w:rsidP="00390FFC">
            <w:pPr>
              <w:tabs>
                <w:tab w:val="decimal" w:pos="936"/>
              </w:tabs>
              <w:rPr>
                <w:sz w:val="20"/>
                <w:szCs w:val="20"/>
              </w:rPr>
            </w:pPr>
          </w:p>
          <w:p w14:paraId="01491C4F" w14:textId="5AB70DD4" w:rsidR="00390FFC" w:rsidRDefault="004744BE" w:rsidP="00390FFC">
            <w:pPr>
              <w:tabs>
                <w:tab w:val="decimal" w:pos="936"/>
              </w:tabs>
              <w:rPr>
                <w:sz w:val="20"/>
                <w:szCs w:val="20"/>
              </w:rPr>
            </w:pPr>
            <w:r>
              <w:rPr>
                <w:sz w:val="20"/>
                <w:szCs w:val="20"/>
              </w:rPr>
              <w:t>(</w:t>
            </w:r>
            <w:r w:rsidR="00390FFC">
              <w:rPr>
                <w:sz w:val="20"/>
                <w:szCs w:val="20"/>
              </w:rPr>
              <w:t>20,878</w:t>
            </w:r>
            <w:r>
              <w:rPr>
                <w:sz w:val="20"/>
                <w:szCs w:val="20"/>
              </w:rPr>
              <w:t>)</w:t>
            </w:r>
          </w:p>
        </w:tc>
        <w:tc>
          <w:tcPr>
            <w:tcW w:w="1276" w:type="dxa"/>
            <w:tcBorders>
              <w:bottom w:val="single" w:sz="4" w:space="0" w:color="auto"/>
            </w:tcBorders>
          </w:tcPr>
          <w:p w14:paraId="6E381D3A" w14:textId="77777777" w:rsidR="004744BE" w:rsidRDefault="004744BE" w:rsidP="00390FFC">
            <w:pPr>
              <w:tabs>
                <w:tab w:val="decimal" w:pos="936"/>
              </w:tabs>
              <w:rPr>
                <w:sz w:val="20"/>
                <w:szCs w:val="20"/>
              </w:rPr>
            </w:pPr>
          </w:p>
          <w:p w14:paraId="6CCFC558" w14:textId="01F9C4A4" w:rsidR="00390FFC" w:rsidRPr="00D73880" w:rsidRDefault="004744BE" w:rsidP="00390FFC">
            <w:pPr>
              <w:tabs>
                <w:tab w:val="decimal" w:pos="936"/>
              </w:tabs>
              <w:rPr>
                <w:sz w:val="20"/>
                <w:szCs w:val="20"/>
              </w:rPr>
            </w:pPr>
            <w:r>
              <w:rPr>
                <w:sz w:val="20"/>
                <w:szCs w:val="20"/>
              </w:rPr>
              <w:t>(</w:t>
            </w:r>
            <w:r w:rsidR="009100D0">
              <w:rPr>
                <w:sz w:val="20"/>
                <w:szCs w:val="20"/>
              </w:rPr>
              <w:t>154,619</w:t>
            </w:r>
            <w:r>
              <w:rPr>
                <w:sz w:val="20"/>
                <w:szCs w:val="20"/>
              </w:rPr>
              <w:t>)</w:t>
            </w:r>
          </w:p>
        </w:tc>
        <w:tc>
          <w:tcPr>
            <w:tcW w:w="1276" w:type="dxa"/>
            <w:tcBorders>
              <w:bottom w:val="single" w:sz="4" w:space="0" w:color="auto"/>
            </w:tcBorders>
          </w:tcPr>
          <w:p w14:paraId="41BCA386" w14:textId="77777777" w:rsidR="004744BE" w:rsidRDefault="004744BE" w:rsidP="00390FFC">
            <w:pPr>
              <w:tabs>
                <w:tab w:val="decimal" w:pos="936"/>
              </w:tabs>
              <w:rPr>
                <w:sz w:val="20"/>
                <w:szCs w:val="20"/>
              </w:rPr>
            </w:pPr>
          </w:p>
          <w:p w14:paraId="79D2C3D4" w14:textId="79C6266A" w:rsidR="00390FFC" w:rsidRPr="003A7B1D" w:rsidRDefault="004744BE" w:rsidP="00390FFC">
            <w:pPr>
              <w:tabs>
                <w:tab w:val="decimal" w:pos="936"/>
              </w:tabs>
              <w:rPr>
                <w:sz w:val="20"/>
                <w:szCs w:val="20"/>
              </w:rPr>
            </w:pPr>
            <w:r>
              <w:rPr>
                <w:sz w:val="20"/>
                <w:szCs w:val="20"/>
              </w:rPr>
              <w:t>(</w:t>
            </w:r>
            <w:r w:rsidR="00390FFC">
              <w:rPr>
                <w:sz w:val="20"/>
                <w:szCs w:val="20"/>
              </w:rPr>
              <w:t>32,102</w:t>
            </w:r>
            <w:r>
              <w:rPr>
                <w:sz w:val="20"/>
                <w:szCs w:val="20"/>
              </w:rPr>
              <w:t>)</w:t>
            </w:r>
          </w:p>
        </w:tc>
      </w:tr>
      <w:tr w:rsidR="00390FFC" w14:paraId="3020F94B" w14:textId="77777777" w:rsidTr="00BA2C24">
        <w:trPr>
          <w:trHeight w:val="173"/>
        </w:trPr>
        <w:tc>
          <w:tcPr>
            <w:tcW w:w="4253" w:type="dxa"/>
            <w:tcBorders>
              <w:top w:val="single" w:sz="4" w:space="0" w:color="auto"/>
            </w:tcBorders>
          </w:tcPr>
          <w:p w14:paraId="5D3C9FC3" w14:textId="77777777" w:rsidR="00390FFC" w:rsidRDefault="00390FFC" w:rsidP="00390FFC">
            <w:pPr>
              <w:rPr>
                <w:sz w:val="20"/>
                <w:szCs w:val="20"/>
              </w:rPr>
            </w:pPr>
          </w:p>
        </w:tc>
        <w:tc>
          <w:tcPr>
            <w:tcW w:w="1275" w:type="dxa"/>
            <w:tcBorders>
              <w:top w:val="single" w:sz="4" w:space="0" w:color="auto"/>
            </w:tcBorders>
          </w:tcPr>
          <w:p w14:paraId="79C9DEBE" w14:textId="77777777" w:rsidR="00390FFC" w:rsidRPr="00D73880" w:rsidRDefault="00390FFC" w:rsidP="00390FFC">
            <w:pPr>
              <w:tabs>
                <w:tab w:val="decimal" w:pos="936"/>
              </w:tabs>
              <w:rPr>
                <w:sz w:val="20"/>
                <w:szCs w:val="20"/>
              </w:rPr>
            </w:pPr>
          </w:p>
        </w:tc>
        <w:tc>
          <w:tcPr>
            <w:tcW w:w="1276" w:type="dxa"/>
            <w:tcBorders>
              <w:top w:val="single" w:sz="4" w:space="0" w:color="auto"/>
            </w:tcBorders>
          </w:tcPr>
          <w:p w14:paraId="5073163C" w14:textId="77777777" w:rsidR="00390FFC" w:rsidRPr="00D73880" w:rsidRDefault="00390FFC" w:rsidP="00390FFC">
            <w:pPr>
              <w:tabs>
                <w:tab w:val="decimal" w:pos="936"/>
              </w:tabs>
              <w:rPr>
                <w:sz w:val="20"/>
                <w:szCs w:val="20"/>
              </w:rPr>
            </w:pPr>
          </w:p>
        </w:tc>
        <w:tc>
          <w:tcPr>
            <w:tcW w:w="1276" w:type="dxa"/>
            <w:tcBorders>
              <w:top w:val="single" w:sz="4" w:space="0" w:color="auto"/>
            </w:tcBorders>
          </w:tcPr>
          <w:p w14:paraId="6A28D555" w14:textId="77777777" w:rsidR="00390FFC" w:rsidRPr="00D73880" w:rsidRDefault="00390FFC" w:rsidP="00390FFC">
            <w:pPr>
              <w:tabs>
                <w:tab w:val="decimal" w:pos="936"/>
              </w:tabs>
              <w:rPr>
                <w:sz w:val="20"/>
                <w:szCs w:val="20"/>
              </w:rPr>
            </w:pPr>
          </w:p>
        </w:tc>
        <w:tc>
          <w:tcPr>
            <w:tcW w:w="1276" w:type="dxa"/>
            <w:tcBorders>
              <w:top w:val="single" w:sz="4" w:space="0" w:color="auto"/>
            </w:tcBorders>
          </w:tcPr>
          <w:p w14:paraId="3B8D2068" w14:textId="77777777" w:rsidR="00390FFC" w:rsidRPr="003A7B1D" w:rsidRDefault="00390FFC" w:rsidP="00390FFC">
            <w:pPr>
              <w:tabs>
                <w:tab w:val="decimal" w:pos="936"/>
              </w:tabs>
              <w:rPr>
                <w:sz w:val="20"/>
                <w:szCs w:val="20"/>
              </w:rPr>
            </w:pPr>
          </w:p>
        </w:tc>
      </w:tr>
      <w:tr w:rsidR="00390FFC" w14:paraId="38C4CAD7" w14:textId="77777777" w:rsidTr="00BA2C24">
        <w:trPr>
          <w:trHeight w:val="173"/>
        </w:trPr>
        <w:tc>
          <w:tcPr>
            <w:tcW w:w="4253" w:type="dxa"/>
          </w:tcPr>
          <w:p w14:paraId="7C087EF8" w14:textId="77777777" w:rsidR="00390FFC" w:rsidRPr="00255D66" w:rsidRDefault="00390FFC" w:rsidP="00390FFC">
            <w:pPr>
              <w:rPr>
                <w:b/>
                <w:bCs/>
                <w:sz w:val="20"/>
                <w:szCs w:val="20"/>
              </w:rPr>
            </w:pPr>
            <w:r>
              <w:rPr>
                <w:b/>
                <w:bCs/>
                <w:sz w:val="20"/>
                <w:szCs w:val="20"/>
              </w:rPr>
              <w:t>Operating expenses</w:t>
            </w:r>
          </w:p>
        </w:tc>
        <w:tc>
          <w:tcPr>
            <w:tcW w:w="1275" w:type="dxa"/>
          </w:tcPr>
          <w:p w14:paraId="6CFBF04B" w14:textId="77777777" w:rsidR="00390FFC" w:rsidRPr="00D73880" w:rsidRDefault="00390FFC" w:rsidP="00390FFC">
            <w:pPr>
              <w:tabs>
                <w:tab w:val="decimal" w:pos="936"/>
              </w:tabs>
              <w:rPr>
                <w:sz w:val="20"/>
                <w:szCs w:val="20"/>
              </w:rPr>
            </w:pPr>
          </w:p>
        </w:tc>
        <w:tc>
          <w:tcPr>
            <w:tcW w:w="1276" w:type="dxa"/>
          </w:tcPr>
          <w:p w14:paraId="183E655C" w14:textId="77777777" w:rsidR="00390FFC" w:rsidRPr="00D73880" w:rsidRDefault="00390FFC" w:rsidP="00390FFC">
            <w:pPr>
              <w:tabs>
                <w:tab w:val="decimal" w:pos="936"/>
              </w:tabs>
              <w:rPr>
                <w:sz w:val="20"/>
                <w:szCs w:val="20"/>
              </w:rPr>
            </w:pPr>
          </w:p>
        </w:tc>
        <w:tc>
          <w:tcPr>
            <w:tcW w:w="1276" w:type="dxa"/>
          </w:tcPr>
          <w:p w14:paraId="2CC3347E" w14:textId="77777777" w:rsidR="00390FFC" w:rsidRPr="00D73880" w:rsidRDefault="00390FFC" w:rsidP="00390FFC">
            <w:pPr>
              <w:tabs>
                <w:tab w:val="decimal" w:pos="936"/>
              </w:tabs>
              <w:rPr>
                <w:sz w:val="20"/>
                <w:szCs w:val="20"/>
              </w:rPr>
            </w:pPr>
          </w:p>
        </w:tc>
        <w:tc>
          <w:tcPr>
            <w:tcW w:w="1276" w:type="dxa"/>
          </w:tcPr>
          <w:p w14:paraId="57C196D8" w14:textId="77777777" w:rsidR="00390FFC" w:rsidRPr="003A7B1D" w:rsidRDefault="00390FFC" w:rsidP="00390FFC">
            <w:pPr>
              <w:tabs>
                <w:tab w:val="decimal" w:pos="936"/>
              </w:tabs>
              <w:rPr>
                <w:sz w:val="20"/>
                <w:szCs w:val="20"/>
              </w:rPr>
            </w:pPr>
          </w:p>
        </w:tc>
      </w:tr>
      <w:tr w:rsidR="009100D0" w14:paraId="75B6007B" w14:textId="77777777" w:rsidTr="00181265">
        <w:trPr>
          <w:trHeight w:val="173"/>
        </w:trPr>
        <w:tc>
          <w:tcPr>
            <w:tcW w:w="4253" w:type="dxa"/>
          </w:tcPr>
          <w:p w14:paraId="70A662EF" w14:textId="77777777" w:rsidR="009100D0" w:rsidRDefault="009100D0" w:rsidP="009100D0">
            <w:pPr>
              <w:ind w:left="180"/>
              <w:rPr>
                <w:sz w:val="20"/>
                <w:szCs w:val="20"/>
              </w:rPr>
            </w:pPr>
            <w:r>
              <w:rPr>
                <w:sz w:val="20"/>
                <w:szCs w:val="20"/>
              </w:rPr>
              <w:t>Administration costs</w:t>
            </w:r>
          </w:p>
        </w:tc>
        <w:tc>
          <w:tcPr>
            <w:tcW w:w="1275" w:type="dxa"/>
          </w:tcPr>
          <w:p w14:paraId="3A2E59F2" w14:textId="797A054D" w:rsidR="009100D0" w:rsidRDefault="00410D37" w:rsidP="009100D0">
            <w:pPr>
              <w:tabs>
                <w:tab w:val="decimal" w:pos="936"/>
              </w:tabs>
              <w:rPr>
                <w:sz w:val="20"/>
                <w:szCs w:val="20"/>
              </w:rPr>
            </w:pPr>
            <w:r>
              <w:rPr>
                <w:sz w:val="20"/>
                <w:szCs w:val="20"/>
              </w:rPr>
              <w:t>495,094</w:t>
            </w:r>
          </w:p>
        </w:tc>
        <w:tc>
          <w:tcPr>
            <w:tcW w:w="1276" w:type="dxa"/>
          </w:tcPr>
          <w:p w14:paraId="1F3D5AC7" w14:textId="56349DE5" w:rsidR="009100D0" w:rsidRDefault="009100D0" w:rsidP="009100D0">
            <w:pPr>
              <w:tabs>
                <w:tab w:val="decimal" w:pos="936"/>
              </w:tabs>
              <w:rPr>
                <w:sz w:val="20"/>
                <w:szCs w:val="20"/>
              </w:rPr>
            </w:pPr>
            <w:r>
              <w:rPr>
                <w:sz w:val="20"/>
                <w:szCs w:val="20"/>
              </w:rPr>
              <w:t>146,</w:t>
            </w:r>
            <w:r w:rsidR="00B276D8">
              <w:rPr>
                <w:sz w:val="20"/>
                <w:szCs w:val="20"/>
              </w:rPr>
              <w:t>451</w:t>
            </w:r>
          </w:p>
        </w:tc>
        <w:tc>
          <w:tcPr>
            <w:tcW w:w="1276" w:type="dxa"/>
            <w:vAlign w:val="center"/>
          </w:tcPr>
          <w:p w14:paraId="0FD0512C" w14:textId="592A5CAC" w:rsidR="009100D0" w:rsidRPr="00D73880" w:rsidRDefault="00410D37" w:rsidP="009100D0">
            <w:pPr>
              <w:tabs>
                <w:tab w:val="decimal" w:pos="936"/>
              </w:tabs>
              <w:rPr>
                <w:sz w:val="20"/>
                <w:szCs w:val="20"/>
              </w:rPr>
            </w:pPr>
            <w:r>
              <w:rPr>
                <w:color w:val="000000"/>
                <w:sz w:val="20"/>
                <w:szCs w:val="20"/>
              </w:rPr>
              <w:t>876,443</w:t>
            </w:r>
          </w:p>
        </w:tc>
        <w:tc>
          <w:tcPr>
            <w:tcW w:w="1276" w:type="dxa"/>
          </w:tcPr>
          <w:p w14:paraId="45C6C666" w14:textId="252BD4EE" w:rsidR="009100D0" w:rsidRPr="003A7B1D" w:rsidRDefault="00B276D8" w:rsidP="009100D0">
            <w:pPr>
              <w:tabs>
                <w:tab w:val="decimal" w:pos="936"/>
              </w:tabs>
              <w:rPr>
                <w:sz w:val="20"/>
                <w:szCs w:val="20"/>
              </w:rPr>
            </w:pPr>
            <w:r>
              <w:rPr>
                <w:sz w:val="20"/>
                <w:szCs w:val="20"/>
              </w:rPr>
              <w:t>247,956</w:t>
            </w:r>
          </w:p>
        </w:tc>
      </w:tr>
      <w:tr w:rsidR="009100D0" w14:paraId="172E3428" w14:textId="77777777" w:rsidTr="00181265">
        <w:trPr>
          <w:trHeight w:val="173"/>
        </w:trPr>
        <w:tc>
          <w:tcPr>
            <w:tcW w:w="4253" w:type="dxa"/>
          </w:tcPr>
          <w:p w14:paraId="623D6F2F" w14:textId="6C13999F" w:rsidR="009100D0" w:rsidRDefault="009100D0" w:rsidP="009100D0">
            <w:pPr>
              <w:ind w:left="180"/>
              <w:rPr>
                <w:sz w:val="20"/>
                <w:szCs w:val="20"/>
              </w:rPr>
            </w:pPr>
            <w:r>
              <w:rPr>
                <w:sz w:val="20"/>
                <w:szCs w:val="20"/>
              </w:rPr>
              <w:t xml:space="preserve">Amortization (Notes </w:t>
            </w:r>
            <w:r w:rsidR="00822DB4">
              <w:rPr>
                <w:sz w:val="20"/>
                <w:szCs w:val="20"/>
              </w:rPr>
              <w:t>8</w:t>
            </w:r>
            <w:r>
              <w:rPr>
                <w:sz w:val="20"/>
                <w:szCs w:val="20"/>
              </w:rPr>
              <w:t xml:space="preserve"> and </w:t>
            </w:r>
            <w:r w:rsidR="00822DB4">
              <w:rPr>
                <w:sz w:val="20"/>
                <w:szCs w:val="20"/>
              </w:rPr>
              <w:t>9</w:t>
            </w:r>
            <w:r>
              <w:rPr>
                <w:sz w:val="20"/>
                <w:szCs w:val="20"/>
              </w:rPr>
              <w:t>)</w:t>
            </w:r>
          </w:p>
        </w:tc>
        <w:tc>
          <w:tcPr>
            <w:tcW w:w="1275" w:type="dxa"/>
          </w:tcPr>
          <w:p w14:paraId="69DF4BB1" w14:textId="61992B7A" w:rsidR="009100D0" w:rsidRDefault="009100D0" w:rsidP="009100D0">
            <w:pPr>
              <w:tabs>
                <w:tab w:val="decimal" w:pos="936"/>
              </w:tabs>
              <w:rPr>
                <w:sz w:val="20"/>
                <w:szCs w:val="20"/>
              </w:rPr>
            </w:pPr>
            <w:r>
              <w:rPr>
                <w:sz w:val="20"/>
                <w:szCs w:val="20"/>
              </w:rPr>
              <w:t>31,</w:t>
            </w:r>
            <w:r w:rsidR="00957F7A">
              <w:rPr>
                <w:sz w:val="20"/>
                <w:szCs w:val="20"/>
              </w:rPr>
              <w:t>494</w:t>
            </w:r>
          </w:p>
        </w:tc>
        <w:tc>
          <w:tcPr>
            <w:tcW w:w="1276" w:type="dxa"/>
          </w:tcPr>
          <w:p w14:paraId="3667BB8A" w14:textId="10E5D597" w:rsidR="009100D0" w:rsidRDefault="009100D0" w:rsidP="009100D0">
            <w:pPr>
              <w:tabs>
                <w:tab w:val="decimal" w:pos="936"/>
              </w:tabs>
              <w:rPr>
                <w:sz w:val="20"/>
                <w:szCs w:val="20"/>
              </w:rPr>
            </w:pPr>
            <w:r>
              <w:rPr>
                <w:sz w:val="20"/>
                <w:szCs w:val="20"/>
              </w:rPr>
              <w:t>63,599</w:t>
            </w:r>
          </w:p>
        </w:tc>
        <w:tc>
          <w:tcPr>
            <w:tcW w:w="1276" w:type="dxa"/>
            <w:vAlign w:val="center"/>
          </w:tcPr>
          <w:p w14:paraId="449268BC" w14:textId="1A30CBD6" w:rsidR="009100D0" w:rsidRPr="00D73880" w:rsidRDefault="009100D0" w:rsidP="009100D0">
            <w:pPr>
              <w:tabs>
                <w:tab w:val="decimal" w:pos="936"/>
              </w:tabs>
              <w:rPr>
                <w:sz w:val="20"/>
                <w:szCs w:val="20"/>
              </w:rPr>
            </w:pPr>
            <w:r>
              <w:rPr>
                <w:color w:val="000000"/>
                <w:sz w:val="20"/>
                <w:szCs w:val="20"/>
              </w:rPr>
              <w:t>89,</w:t>
            </w:r>
            <w:r w:rsidR="00957F7A">
              <w:rPr>
                <w:color w:val="000000"/>
                <w:sz w:val="20"/>
                <w:szCs w:val="20"/>
              </w:rPr>
              <w:t>562</w:t>
            </w:r>
          </w:p>
        </w:tc>
        <w:tc>
          <w:tcPr>
            <w:tcW w:w="1276" w:type="dxa"/>
          </w:tcPr>
          <w:p w14:paraId="3FC8D8B3" w14:textId="5D8B1C9A" w:rsidR="009100D0" w:rsidRPr="003A7B1D" w:rsidRDefault="009100D0" w:rsidP="009100D0">
            <w:pPr>
              <w:tabs>
                <w:tab w:val="decimal" w:pos="936"/>
              </w:tabs>
              <w:rPr>
                <w:sz w:val="20"/>
                <w:szCs w:val="20"/>
              </w:rPr>
            </w:pPr>
            <w:r>
              <w:rPr>
                <w:sz w:val="20"/>
                <w:szCs w:val="20"/>
              </w:rPr>
              <w:t>128,003</w:t>
            </w:r>
          </w:p>
        </w:tc>
      </w:tr>
      <w:tr w:rsidR="009100D0" w14:paraId="11282170" w14:textId="77777777" w:rsidTr="00181265">
        <w:trPr>
          <w:trHeight w:val="173"/>
        </w:trPr>
        <w:tc>
          <w:tcPr>
            <w:tcW w:w="4253" w:type="dxa"/>
          </w:tcPr>
          <w:p w14:paraId="62938FF0" w14:textId="66935C33" w:rsidR="009100D0" w:rsidRDefault="009100D0" w:rsidP="009100D0">
            <w:pPr>
              <w:ind w:left="180"/>
              <w:rPr>
                <w:sz w:val="20"/>
                <w:szCs w:val="20"/>
              </w:rPr>
            </w:pPr>
            <w:r>
              <w:rPr>
                <w:sz w:val="20"/>
                <w:szCs w:val="20"/>
              </w:rPr>
              <w:t>Consulting fees (Note 1</w:t>
            </w:r>
            <w:r w:rsidR="00822DB4">
              <w:rPr>
                <w:sz w:val="20"/>
                <w:szCs w:val="20"/>
              </w:rPr>
              <w:t>5</w:t>
            </w:r>
            <w:r>
              <w:rPr>
                <w:sz w:val="20"/>
                <w:szCs w:val="20"/>
              </w:rPr>
              <w:t>)</w:t>
            </w:r>
          </w:p>
        </w:tc>
        <w:tc>
          <w:tcPr>
            <w:tcW w:w="1275" w:type="dxa"/>
          </w:tcPr>
          <w:p w14:paraId="5205C6DF" w14:textId="62C5B43F" w:rsidR="009100D0" w:rsidRDefault="009100D0" w:rsidP="009100D0">
            <w:pPr>
              <w:tabs>
                <w:tab w:val="decimal" w:pos="936"/>
              </w:tabs>
              <w:rPr>
                <w:sz w:val="20"/>
                <w:szCs w:val="20"/>
              </w:rPr>
            </w:pPr>
            <w:r>
              <w:rPr>
                <w:sz w:val="20"/>
                <w:szCs w:val="20"/>
              </w:rPr>
              <w:t>175,962</w:t>
            </w:r>
          </w:p>
        </w:tc>
        <w:tc>
          <w:tcPr>
            <w:tcW w:w="1276" w:type="dxa"/>
          </w:tcPr>
          <w:p w14:paraId="42AB4D4D" w14:textId="158EF35C" w:rsidR="009100D0" w:rsidRDefault="009100D0" w:rsidP="009100D0">
            <w:pPr>
              <w:tabs>
                <w:tab w:val="decimal" w:pos="936"/>
              </w:tabs>
              <w:rPr>
                <w:sz w:val="20"/>
                <w:szCs w:val="20"/>
              </w:rPr>
            </w:pPr>
            <w:r>
              <w:rPr>
                <w:sz w:val="20"/>
                <w:szCs w:val="20"/>
              </w:rPr>
              <w:t>208,912</w:t>
            </w:r>
          </w:p>
        </w:tc>
        <w:tc>
          <w:tcPr>
            <w:tcW w:w="1276" w:type="dxa"/>
            <w:vAlign w:val="center"/>
          </w:tcPr>
          <w:p w14:paraId="40C15937" w14:textId="110D8444" w:rsidR="009100D0" w:rsidRPr="00D73880" w:rsidRDefault="009100D0" w:rsidP="009100D0">
            <w:pPr>
              <w:tabs>
                <w:tab w:val="decimal" w:pos="936"/>
              </w:tabs>
              <w:rPr>
                <w:sz w:val="20"/>
                <w:szCs w:val="20"/>
              </w:rPr>
            </w:pPr>
            <w:r>
              <w:rPr>
                <w:color w:val="000000"/>
                <w:sz w:val="20"/>
                <w:szCs w:val="20"/>
              </w:rPr>
              <w:t>488,479</w:t>
            </w:r>
          </w:p>
        </w:tc>
        <w:tc>
          <w:tcPr>
            <w:tcW w:w="1276" w:type="dxa"/>
          </w:tcPr>
          <w:p w14:paraId="54886F71" w14:textId="5AEE3047" w:rsidR="009100D0" w:rsidRPr="003A7B1D" w:rsidRDefault="009100D0" w:rsidP="009100D0">
            <w:pPr>
              <w:tabs>
                <w:tab w:val="decimal" w:pos="936"/>
              </w:tabs>
              <w:rPr>
                <w:sz w:val="20"/>
                <w:szCs w:val="20"/>
              </w:rPr>
            </w:pPr>
            <w:r>
              <w:rPr>
                <w:sz w:val="20"/>
                <w:szCs w:val="20"/>
              </w:rPr>
              <w:t>503,396</w:t>
            </w:r>
          </w:p>
        </w:tc>
      </w:tr>
      <w:tr w:rsidR="009100D0" w14:paraId="30DA8CF1" w14:textId="77777777" w:rsidTr="00181265">
        <w:trPr>
          <w:trHeight w:val="173"/>
        </w:trPr>
        <w:tc>
          <w:tcPr>
            <w:tcW w:w="4253" w:type="dxa"/>
          </w:tcPr>
          <w:p w14:paraId="4B9781EE" w14:textId="77777777" w:rsidR="009100D0" w:rsidRDefault="009100D0" w:rsidP="009100D0">
            <w:pPr>
              <w:ind w:left="180"/>
              <w:rPr>
                <w:sz w:val="20"/>
                <w:szCs w:val="20"/>
              </w:rPr>
            </w:pPr>
            <w:r>
              <w:rPr>
                <w:sz w:val="20"/>
                <w:szCs w:val="20"/>
              </w:rPr>
              <w:t>Investor relations</w:t>
            </w:r>
          </w:p>
        </w:tc>
        <w:tc>
          <w:tcPr>
            <w:tcW w:w="1275" w:type="dxa"/>
          </w:tcPr>
          <w:p w14:paraId="0E6062CD" w14:textId="5ADCD2E6" w:rsidR="009100D0" w:rsidRDefault="009100D0" w:rsidP="009100D0">
            <w:pPr>
              <w:tabs>
                <w:tab w:val="decimal" w:pos="936"/>
              </w:tabs>
              <w:rPr>
                <w:sz w:val="20"/>
                <w:szCs w:val="20"/>
              </w:rPr>
            </w:pPr>
            <w:r>
              <w:rPr>
                <w:sz w:val="20"/>
                <w:szCs w:val="20"/>
              </w:rPr>
              <w:t>11,756</w:t>
            </w:r>
          </w:p>
        </w:tc>
        <w:tc>
          <w:tcPr>
            <w:tcW w:w="1276" w:type="dxa"/>
          </w:tcPr>
          <w:p w14:paraId="22BB160F" w14:textId="29217A77" w:rsidR="009100D0" w:rsidRDefault="009100D0" w:rsidP="009100D0">
            <w:pPr>
              <w:tabs>
                <w:tab w:val="decimal" w:pos="936"/>
              </w:tabs>
              <w:rPr>
                <w:sz w:val="20"/>
                <w:szCs w:val="20"/>
              </w:rPr>
            </w:pPr>
            <w:r>
              <w:rPr>
                <w:sz w:val="20"/>
                <w:szCs w:val="20"/>
              </w:rPr>
              <w:t>12,000</w:t>
            </w:r>
          </w:p>
        </w:tc>
        <w:tc>
          <w:tcPr>
            <w:tcW w:w="1276" w:type="dxa"/>
            <w:vAlign w:val="center"/>
          </w:tcPr>
          <w:p w14:paraId="7E4A1124" w14:textId="30A0E1A7" w:rsidR="009100D0" w:rsidRPr="00D73880" w:rsidRDefault="009100D0" w:rsidP="009100D0">
            <w:pPr>
              <w:tabs>
                <w:tab w:val="decimal" w:pos="936"/>
              </w:tabs>
              <w:rPr>
                <w:sz w:val="20"/>
                <w:szCs w:val="20"/>
              </w:rPr>
            </w:pPr>
            <w:r>
              <w:rPr>
                <w:color w:val="000000"/>
                <w:sz w:val="20"/>
                <w:szCs w:val="20"/>
              </w:rPr>
              <w:t>55,430</w:t>
            </w:r>
          </w:p>
        </w:tc>
        <w:tc>
          <w:tcPr>
            <w:tcW w:w="1276" w:type="dxa"/>
          </w:tcPr>
          <w:p w14:paraId="7A808E28" w14:textId="01442846" w:rsidR="009100D0" w:rsidRPr="003A7B1D" w:rsidRDefault="009100D0" w:rsidP="009100D0">
            <w:pPr>
              <w:tabs>
                <w:tab w:val="decimal" w:pos="936"/>
              </w:tabs>
              <w:rPr>
                <w:sz w:val="20"/>
                <w:szCs w:val="20"/>
              </w:rPr>
            </w:pPr>
            <w:r>
              <w:rPr>
                <w:sz w:val="20"/>
                <w:szCs w:val="20"/>
              </w:rPr>
              <w:t>43,475</w:t>
            </w:r>
          </w:p>
        </w:tc>
      </w:tr>
      <w:tr w:rsidR="009100D0" w14:paraId="62517232" w14:textId="77777777" w:rsidTr="00181265">
        <w:trPr>
          <w:trHeight w:val="173"/>
        </w:trPr>
        <w:tc>
          <w:tcPr>
            <w:tcW w:w="4253" w:type="dxa"/>
          </w:tcPr>
          <w:p w14:paraId="467AE4FB" w14:textId="77777777" w:rsidR="009100D0" w:rsidRDefault="009100D0" w:rsidP="009100D0">
            <w:pPr>
              <w:ind w:left="180"/>
              <w:rPr>
                <w:sz w:val="20"/>
                <w:szCs w:val="20"/>
              </w:rPr>
            </w:pPr>
            <w:r>
              <w:rPr>
                <w:sz w:val="20"/>
                <w:szCs w:val="20"/>
              </w:rPr>
              <w:t>Marketing</w:t>
            </w:r>
          </w:p>
        </w:tc>
        <w:tc>
          <w:tcPr>
            <w:tcW w:w="1275" w:type="dxa"/>
          </w:tcPr>
          <w:p w14:paraId="73AF409B" w14:textId="65DFCDA3" w:rsidR="009100D0" w:rsidRDefault="009100D0" w:rsidP="009100D0">
            <w:pPr>
              <w:tabs>
                <w:tab w:val="decimal" w:pos="936"/>
              </w:tabs>
              <w:rPr>
                <w:sz w:val="20"/>
                <w:szCs w:val="20"/>
              </w:rPr>
            </w:pPr>
            <w:r>
              <w:rPr>
                <w:sz w:val="20"/>
                <w:szCs w:val="20"/>
              </w:rPr>
              <w:t>163,246</w:t>
            </w:r>
          </w:p>
        </w:tc>
        <w:tc>
          <w:tcPr>
            <w:tcW w:w="1276" w:type="dxa"/>
          </w:tcPr>
          <w:p w14:paraId="254E68D4" w14:textId="46F8899D" w:rsidR="009100D0" w:rsidRDefault="009100D0" w:rsidP="009100D0">
            <w:pPr>
              <w:tabs>
                <w:tab w:val="decimal" w:pos="936"/>
              </w:tabs>
              <w:rPr>
                <w:sz w:val="20"/>
                <w:szCs w:val="20"/>
              </w:rPr>
            </w:pPr>
            <w:r>
              <w:rPr>
                <w:sz w:val="20"/>
                <w:szCs w:val="20"/>
              </w:rPr>
              <w:t>17,020</w:t>
            </w:r>
          </w:p>
        </w:tc>
        <w:tc>
          <w:tcPr>
            <w:tcW w:w="1276" w:type="dxa"/>
            <w:vAlign w:val="center"/>
          </w:tcPr>
          <w:p w14:paraId="4C1863DB" w14:textId="6A87B649" w:rsidR="009100D0" w:rsidRPr="00D73880" w:rsidRDefault="009100D0" w:rsidP="009100D0">
            <w:pPr>
              <w:tabs>
                <w:tab w:val="decimal" w:pos="936"/>
              </w:tabs>
              <w:rPr>
                <w:sz w:val="20"/>
                <w:szCs w:val="20"/>
              </w:rPr>
            </w:pPr>
            <w:r>
              <w:rPr>
                <w:color w:val="000000"/>
                <w:sz w:val="20"/>
                <w:szCs w:val="20"/>
              </w:rPr>
              <w:t>275,660</w:t>
            </w:r>
          </w:p>
        </w:tc>
        <w:tc>
          <w:tcPr>
            <w:tcW w:w="1276" w:type="dxa"/>
          </w:tcPr>
          <w:p w14:paraId="5EBBB667" w14:textId="4D2FD77D" w:rsidR="009100D0" w:rsidRPr="003A7B1D" w:rsidRDefault="009100D0" w:rsidP="009100D0">
            <w:pPr>
              <w:tabs>
                <w:tab w:val="decimal" w:pos="936"/>
              </w:tabs>
              <w:rPr>
                <w:sz w:val="20"/>
                <w:szCs w:val="20"/>
              </w:rPr>
            </w:pPr>
            <w:r>
              <w:rPr>
                <w:sz w:val="20"/>
                <w:szCs w:val="20"/>
              </w:rPr>
              <w:t>62,914</w:t>
            </w:r>
          </w:p>
        </w:tc>
      </w:tr>
      <w:tr w:rsidR="009100D0" w14:paraId="58CE341C" w14:textId="77777777" w:rsidTr="00181265">
        <w:trPr>
          <w:trHeight w:val="173"/>
        </w:trPr>
        <w:tc>
          <w:tcPr>
            <w:tcW w:w="4253" w:type="dxa"/>
          </w:tcPr>
          <w:p w14:paraId="6996CDC4" w14:textId="7988D426" w:rsidR="009100D0" w:rsidRDefault="009100D0" w:rsidP="009100D0">
            <w:pPr>
              <w:ind w:left="180"/>
              <w:rPr>
                <w:sz w:val="20"/>
                <w:szCs w:val="20"/>
              </w:rPr>
            </w:pPr>
            <w:r>
              <w:rPr>
                <w:sz w:val="20"/>
                <w:szCs w:val="20"/>
              </w:rPr>
              <w:t>Salary and benefits (Note 1</w:t>
            </w:r>
            <w:r w:rsidR="00822DB4">
              <w:rPr>
                <w:sz w:val="20"/>
                <w:szCs w:val="20"/>
              </w:rPr>
              <w:t>5</w:t>
            </w:r>
            <w:r>
              <w:rPr>
                <w:sz w:val="20"/>
                <w:szCs w:val="20"/>
              </w:rPr>
              <w:t>)</w:t>
            </w:r>
          </w:p>
        </w:tc>
        <w:tc>
          <w:tcPr>
            <w:tcW w:w="1275" w:type="dxa"/>
          </w:tcPr>
          <w:p w14:paraId="5960BDBB" w14:textId="25C16D93" w:rsidR="009100D0" w:rsidRDefault="009100D0" w:rsidP="009100D0">
            <w:pPr>
              <w:tabs>
                <w:tab w:val="decimal" w:pos="936"/>
              </w:tabs>
              <w:rPr>
                <w:sz w:val="20"/>
                <w:szCs w:val="20"/>
              </w:rPr>
            </w:pPr>
            <w:r>
              <w:rPr>
                <w:sz w:val="20"/>
                <w:szCs w:val="20"/>
              </w:rPr>
              <w:t>455,522</w:t>
            </w:r>
          </w:p>
        </w:tc>
        <w:tc>
          <w:tcPr>
            <w:tcW w:w="1276" w:type="dxa"/>
          </w:tcPr>
          <w:p w14:paraId="6F5B8D7E" w14:textId="4D7776D2" w:rsidR="009100D0" w:rsidRDefault="009100D0" w:rsidP="009100D0">
            <w:pPr>
              <w:tabs>
                <w:tab w:val="decimal" w:pos="936"/>
              </w:tabs>
              <w:rPr>
                <w:sz w:val="20"/>
                <w:szCs w:val="20"/>
              </w:rPr>
            </w:pPr>
            <w:r>
              <w:rPr>
                <w:sz w:val="20"/>
                <w:szCs w:val="20"/>
              </w:rPr>
              <w:t>322,861</w:t>
            </w:r>
          </w:p>
        </w:tc>
        <w:tc>
          <w:tcPr>
            <w:tcW w:w="1276" w:type="dxa"/>
            <w:vAlign w:val="center"/>
          </w:tcPr>
          <w:p w14:paraId="264FFD75" w14:textId="1C6FEE89" w:rsidR="009100D0" w:rsidRPr="00D73880" w:rsidRDefault="009100D0" w:rsidP="009100D0">
            <w:pPr>
              <w:tabs>
                <w:tab w:val="decimal" w:pos="936"/>
              </w:tabs>
              <w:rPr>
                <w:sz w:val="20"/>
                <w:szCs w:val="20"/>
              </w:rPr>
            </w:pPr>
            <w:r>
              <w:rPr>
                <w:color w:val="000000"/>
                <w:sz w:val="20"/>
                <w:szCs w:val="20"/>
              </w:rPr>
              <w:t>788,773</w:t>
            </w:r>
          </w:p>
        </w:tc>
        <w:tc>
          <w:tcPr>
            <w:tcW w:w="1276" w:type="dxa"/>
          </w:tcPr>
          <w:p w14:paraId="65BB2D85" w14:textId="791E0E42" w:rsidR="009100D0" w:rsidRPr="003A7B1D" w:rsidRDefault="009100D0" w:rsidP="009100D0">
            <w:pPr>
              <w:tabs>
                <w:tab w:val="decimal" w:pos="936"/>
              </w:tabs>
              <w:rPr>
                <w:sz w:val="20"/>
                <w:szCs w:val="20"/>
              </w:rPr>
            </w:pPr>
            <w:r>
              <w:rPr>
                <w:sz w:val="20"/>
                <w:szCs w:val="20"/>
              </w:rPr>
              <w:t>671,027</w:t>
            </w:r>
          </w:p>
        </w:tc>
      </w:tr>
      <w:tr w:rsidR="009100D0" w14:paraId="16C74CA3" w14:textId="77777777" w:rsidTr="00181265">
        <w:trPr>
          <w:trHeight w:val="173"/>
        </w:trPr>
        <w:tc>
          <w:tcPr>
            <w:tcW w:w="4253" w:type="dxa"/>
          </w:tcPr>
          <w:p w14:paraId="79B20C7B" w14:textId="2553BC35" w:rsidR="009100D0" w:rsidRDefault="009100D0" w:rsidP="009100D0">
            <w:pPr>
              <w:ind w:left="180"/>
              <w:rPr>
                <w:sz w:val="20"/>
                <w:szCs w:val="20"/>
              </w:rPr>
            </w:pPr>
            <w:r>
              <w:rPr>
                <w:sz w:val="20"/>
                <w:szCs w:val="20"/>
              </w:rPr>
              <w:t>Share based payments (Notes 1</w:t>
            </w:r>
            <w:r w:rsidR="00822DB4">
              <w:rPr>
                <w:sz w:val="20"/>
                <w:szCs w:val="20"/>
              </w:rPr>
              <w:t>4</w:t>
            </w:r>
            <w:r>
              <w:rPr>
                <w:sz w:val="20"/>
                <w:szCs w:val="20"/>
              </w:rPr>
              <w:t xml:space="preserve"> and 1</w:t>
            </w:r>
            <w:r w:rsidR="00822DB4">
              <w:rPr>
                <w:sz w:val="20"/>
                <w:szCs w:val="20"/>
              </w:rPr>
              <w:t>5</w:t>
            </w:r>
            <w:r>
              <w:rPr>
                <w:sz w:val="20"/>
                <w:szCs w:val="20"/>
              </w:rPr>
              <w:t>)</w:t>
            </w:r>
          </w:p>
        </w:tc>
        <w:tc>
          <w:tcPr>
            <w:tcW w:w="1275" w:type="dxa"/>
          </w:tcPr>
          <w:p w14:paraId="3E95C39E" w14:textId="6747A2B4" w:rsidR="009100D0" w:rsidRDefault="009100D0" w:rsidP="009100D0">
            <w:pPr>
              <w:tabs>
                <w:tab w:val="decimal" w:pos="936"/>
              </w:tabs>
              <w:rPr>
                <w:sz w:val="20"/>
                <w:szCs w:val="20"/>
              </w:rPr>
            </w:pPr>
            <w:r>
              <w:rPr>
                <w:sz w:val="20"/>
                <w:szCs w:val="20"/>
              </w:rPr>
              <w:t>95,942</w:t>
            </w:r>
          </w:p>
        </w:tc>
        <w:tc>
          <w:tcPr>
            <w:tcW w:w="1276" w:type="dxa"/>
          </w:tcPr>
          <w:p w14:paraId="127E64D6" w14:textId="1B97C6CE" w:rsidR="009100D0" w:rsidRDefault="009100D0" w:rsidP="009100D0">
            <w:pPr>
              <w:tabs>
                <w:tab w:val="decimal" w:pos="936"/>
              </w:tabs>
              <w:rPr>
                <w:sz w:val="20"/>
                <w:szCs w:val="20"/>
              </w:rPr>
            </w:pPr>
            <w:r>
              <w:rPr>
                <w:sz w:val="20"/>
                <w:szCs w:val="20"/>
              </w:rPr>
              <w:t>45,917</w:t>
            </w:r>
          </w:p>
        </w:tc>
        <w:tc>
          <w:tcPr>
            <w:tcW w:w="1276" w:type="dxa"/>
            <w:vAlign w:val="center"/>
          </w:tcPr>
          <w:p w14:paraId="15EF1074" w14:textId="6CFE5581" w:rsidR="009100D0" w:rsidRPr="00D73880" w:rsidRDefault="009100D0" w:rsidP="009100D0">
            <w:pPr>
              <w:tabs>
                <w:tab w:val="decimal" w:pos="936"/>
              </w:tabs>
              <w:rPr>
                <w:sz w:val="20"/>
                <w:szCs w:val="20"/>
              </w:rPr>
            </w:pPr>
            <w:r>
              <w:rPr>
                <w:color w:val="000000"/>
                <w:sz w:val="20"/>
                <w:szCs w:val="20"/>
              </w:rPr>
              <w:t>252,478</w:t>
            </w:r>
          </w:p>
        </w:tc>
        <w:tc>
          <w:tcPr>
            <w:tcW w:w="1276" w:type="dxa"/>
          </w:tcPr>
          <w:p w14:paraId="0F56FA26" w14:textId="1184FB66" w:rsidR="009100D0" w:rsidRPr="003A7B1D" w:rsidRDefault="009100D0" w:rsidP="009100D0">
            <w:pPr>
              <w:tabs>
                <w:tab w:val="decimal" w:pos="936"/>
              </w:tabs>
              <w:rPr>
                <w:sz w:val="20"/>
                <w:szCs w:val="20"/>
              </w:rPr>
            </w:pPr>
            <w:r>
              <w:rPr>
                <w:sz w:val="20"/>
                <w:szCs w:val="20"/>
              </w:rPr>
              <w:t>113,143</w:t>
            </w:r>
          </w:p>
        </w:tc>
      </w:tr>
      <w:tr w:rsidR="009100D0" w14:paraId="674C7AB3" w14:textId="77777777" w:rsidTr="00760411">
        <w:trPr>
          <w:trHeight w:val="173"/>
        </w:trPr>
        <w:tc>
          <w:tcPr>
            <w:tcW w:w="4253" w:type="dxa"/>
            <w:tcBorders>
              <w:bottom w:val="single" w:sz="4" w:space="0" w:color="auto"/>
            </w:tcBorders>
          </w:tcPr>
          <w:p w14:paraId="76D3D1F8" w14:textId="77777777" w:rsidR="009100D0" w:rsidRDefault="009100D0" w:rsidP="009100D0">
            <w:pPr>
              <w:ind w:left="180"/>
              <w:rPr>
                <w:sz w:val="20"/>
                <w:szCs w:val="20"/>
              </w:rPr>
            </w:pPr>
            <w:r>
              <w:rPr>
                <w:sz w:val="20"/>
                <w:szCs w:val="20"/>
              </w:rPr>
              <w:t>Transfer agent and filing fees</w:t>
            </w:r>
          </w:p>
        </w:tc>
        <w:tc>
          <w:tcPr>
            <w:tcW w:w="1275" w:type="dxa"/>
            <w:tcBorders>
              <w:bottom w:val="single" w:sz="4" w:space="0" w:color="auto"/>
            </w:tcBorders>
          </w:tcPr>
          <w:p w14:paraId="372AFF3F" w14:textId="6493AAE7" w:rsidR="009100D0" w:rsidRDefault="009100D0" w:rsidP="009100D0">
            <w:pPr>
              <w:tabs>
                <w:tab w:val="decimal" w:pos="936"/>
              </w:tabs>
              <w:rPr>
                <w:sz w:val="20"/>
                <w:szCs w:val="20"/>
              </w:rPr>
            </w:pPr>
            <w:r>
              <w:rPr>
                <w:sz w:val="20"/>
                <w:szCs w:val="20"/>
              </w:rPr>
              <w:t>-</w:t>
            </w:r>
          </w:p>
        </w:tc>
        <w:tc>
          <w:tcPr>
            <w:tcW w:w="1276" w:type="dxa"/>
            <w:tcBorders>
              <w:bottom w:val="single" w:sz="4" w:space="0" w:color="auto"/>
            </w:tcBorders>
          </w:tcPr>
          <w:p w14:paraId="078ED9F3" w14:textId="625055FA" w:rsidR="009100D0" w:rsidRDefault="009100D0" w:rsidP="009100D0">
            <w:pPr>
              <w:tabs>
                <w:tab w:val="decimal" w:pos="936"/>
              </w:tabs>
              <w:rPr>
                <w:sz w:val="20"/>
                <w:szCs w:val="20"/>
              </w:rPr>
            </w:pPr>
            <w:r>
              <w:rPr>
                <w:sz w:val="20"/>
                <w:szCs w:val="20"/>
              </w:rPr>
              <w:t>7,579</w:t>
            </w:r>
          </w:p>
        </w:tc>
        <w:tc>
          <w:tcPr>
            <w:tcW w:w="1276" w:type="dxa"/>
            <w:tcBorders>
              <w:bottom w:val="single" w:sz="4" w:space="0" w:color="auto"/>
            </w:tcBorders>
            <w:vAlign w:val="center"/>
          </w:tcPr>
          <w:p w14:paraId="0E4BEC63" w14:textId="05768095" w:rsidR="009100D0" w:rsidRPr="00D73880" w:rsidRDefault="009100D0" w:rsidP="009100D0">
            <w:pPr>
              <w:tabs>
                <w:tab w:val="decimal" w:pos="936"/>
              </w:tabs>
              <w:rPr>
                <w:sz w:val="20"/>
                <w:szCs w:val="20"/>
              </w:rPr>
            </w:pPr>
            <w:r>
              <w:rPr>
                <w:color w:val="000000"/>
                <w:sz w:val="20"/>
                <w:szCs w:val="20"/>
              </w:rPr>
              <w:t>14,080</w:t>
            </w:r>
          </w:p>
        </w:tc>
        <w:tc>
          <w:tcPr>
            <w:tcW w:w="1276" w:type="dxa"/>
            <w:tcBorders>
              <w:bottom w:val="single" w:sz="4" w:space="0" w:color="auto"/>
            </w:tcBorders>
          </w:tcPr>
          <w:p w14:paraId="11B852C8" w14:textId="4E2700B1" w:rsidR="009100D0" w:rsidRPr="003A7B1D" w:rsidRDefault="009100D0" w:rsidP="009100D0">
            <w:pPr>
              <w:tabs>
                <w:tab w:val="decimal" w:pos="936"/>
              </w:tabs>
              <w:rPr>
                <w:sz w:val="20"/>
                <w:szCs w:val="20"/>
              </w:rPr>
            </w:pPr>
            <w:r>
              <w:rPr>
                <w:sz w:val="20"/>
                <w:szCs w:val="20"/>
              </w:rPr>
              <w:t>12,020</w:t>
            </w:r>
          </w:p>
        </w:tc>
      </w:tr>
      <w:tr w:rsidR="00390FFC" w14:paraId="22C10549" w14:textId="77777777" w:rsidTr="00760411">
        <w:trPr>
          <w:trHeight w:val="173"/>
        </w:trPr>
        <w:tc>
          <w:tcPr>
            <w:tcW w:w="4253" w:type="dxa"/>
            <w:tcBorders>
              <w:top w:val="single" w:sz="4" w:space="0" w:color="auto"/>
              <w:bottom w:val="single" w:sz="4" w:space="0" w:color="auto"/>
            </w:tcBorders>
          </w:tcPr>
          <w:p w14:paraId="7C0C2022" w14:textId="77777777" w:rsidR="00390FFC" w:rsidRPr="002F4DD7" w:rsidRDefault="00390FFC" w:rsidP="00390FFC">
            <w:pPr>
              <w:rPr>
                <w:b/>
                <w:bCs/>
                <w:sz w:val="20"/>
                <w:szCs w:val="20"/>
              </w:rPr>
            </w:pPr>
            <w:r>
              <w:rPr>
                <w:b/>
                <w:bCs/>
                <w:sz w:val="20"/>
                <w:szCs w:val="20"/>
              </w:rPr>
              <w:t>Total operating expenses</w:t>
            </w:r>
          </w:p>
        </w:tc>
        <w:tc>
          <w:tcPr>
            <w:tcW w:w="1275" w:type="dxa"/>
            <w:tcBorders>
              <w:top w:val="single" w:sz="4" w:space="0" w:color="auto"/>
              <w:bottom w:val="single" w:sz="4" w:space="0" w:color="auto"/>
            </w:tcBorders>
          </w:tcPr>
          <w:p w14:paraId="7839A2E6" w14:textId="1D8FD96D" w:rsidR="00390FFC" w:rsidRDefault="004744BE" w:rsidP="00390FFC">
            <w:pPr>
              <w:tabs>
                <w:tab w:val="decimal" w:pos="936"/>
              </w:tabs>
              <w:rPr>
                <w:sz w:val="20"/>
                <w:szCs w:val="20"/>
              </w:rPr>
            </w:pPr>
            <w:r>
              <w:rPr>
                <w:sz w:val="20"/>
                <w:szCs w:val="20"/>
              </w:rPr>
              <w:t>(</w:t>
            </w:r>
            <w:r w:rsidR="009100D0">
              <w:rPr>
                <w:sz w:val="20"/>
                <w:szCs w:val="20"/>
              </w:rPr>
              <w:t>1,</w:t>
            </w:r>
            <w:r w:rsidR="00410D37">
              <w:rPr>
                <w:sz w:val="20"/>
                <w:szCs w:val="20"/>
              </w:rPr>
              <w:t>429,016</w:t>
            </w:r>
            <w:r>
              <w:rPr>
                <w:sz w:val="20"/>
                <w:szCs w:val="20"/>
              </w:rPr>
              <w:t>)</w:t>
            </w:r>
          </w:p>
        </w:tc>
        <w:tc>
          <w:tcPr>
            <w:tcW w:w="1276" w:type="dxa"/>
            <w:tcBorders>
              <w:top w:val="single" w:sz="4" w:space="0" w:color="auto"/>
              <w:bottom w:val="single" w:sz="4" w:space="0" w:color="auto"/>
            </w:tcBorders>
          </w:tcPr>
          <w:p w14:paraId="562B36C8" w14:textId="0F742AE5" w:rsidR="00390FFC" w:rsidRDefault="004744BE" w:rsidP="00390FFC">
            <w:pPr>
              <w:tabs>
                <w:tab w:val="decimal" w:pos="936"/>
              </w:tabs>
              <w:rPr>
                <w:sz w:val="20"/>
                <w:szCs w:val="20"/>
              </w:rPr>
            </w:pPr>
            <w:r>
              <w:rPr>
                <w:sz w:val="20"/>
                <w:szCs w:val="20"/>
              </w:rPr>
              <w:t>(</w:t>
            </w:r>
            <w:r w:rsidR="009100D0">
              <w:rPr>
                <w:sz w:val="20"/>
                <w:szCs w:val="20"/>
              </w:rPr>
              <w:t>824,762</w:t>
            </w:r>
            <w:r>
              <w:rPr>
                <w:sz w:val="20"/>
                <w:szCs w:val="20"/>
              </w:rPr>
              <w:t>)</w:t>
            </w:r>
          </w:p>
        </w:tc>
        <w:tc>
          <w:tcPr>
            <w:tcW w:w="1276" w:type="dxa"/>
            <w:tcBorders>
              <w:top w:val="single" w:sz="4" w:space="0" w:color="auto"/>
              <w:bottom w:val="single" w:sz="4" w:space="0" w:color="auto"/>
            </w:tcBorders>
          </w:tcPr>
          <w:p w14:paraId="52E17FC8" w14:textId="6B70C5A2" w:rsidR="00390FFC" w:rsidRPr="00D73880" w:rsidRDefault="004744BE" w:rsidP="00390FFC">
            <w:pPr>
              <w:tabs>
                <w:tab w:val="decimal" w:pos="936"/>
              </w:tabs>
              <w:rPr>
                <w:sz w:val="20"/>
                <w:szCs w:val="20"/>
              </w:rPr>
            </w:pPr>
            <w:r>
              <w:rPr>
                <w:sz w:val="20"/>
                <w:szCs w:val="20"/>
              </w:rPr>
              <w:t>(</w:t>
            </w:r>
            <w:r w:rsidR="009100D0">
              <w:rPr>
                <w:sz w:val="20"/>
                <w:szCs w:val="20"/>
              </w:rPr>
              <w:t>2,</w:t>
            </w:r>
            <w:r w:rsidR="00410D37">
              <w:rPr>
                <w:sz w:val="20"/>
                <w:szCs w:val="20"/>
              </w:rPr>
              <w:t>840,905</w:t>
            </w:r>
            <w:r>
              <w:rPr>
                <w:sz w:val="20"/>
                <w:szCs w:val="20"/>
              </w:rPr>
              <w:t>)</w:t>
            </w:r>
          </w:p>
        </w:tc>
        <w:tc>
          <w:tcPr>
            <w:tcW w:w="1276" w:type="dxa"/>
            <w:tcBorders>
              <w:top w:val="single" w:sz="4" w:space="0" w:color="auto"/>
              <w:bottom w:val="single" w:sz="4" w:space="0" w:color="auto"/>
            </w:tcBorders>
          </w:tcPr>
          <w:p w14:paraId="2FEFEF6D" w14:textId="432E82F6" w:rsidR="00390FFC" w:rsidRPr="003A7B1D" w:rsidRDefault="004744BE" w:rsidP="00390FFC">
            <w:pPr>
              <w:tabs>
                <w:tab w:val="decimal" w:pos="936"/>
              </w:tabs>
              <w:rPr>
                <w:sz w:val="20"/>
                <w:szCs w:val="20"/>
              </w:rPr>
            </w:pPr>
            <w:r>
              <w:rPr>
                <w:sz w:val="20"/>
                <w:szCs w:val="20"/>
              </w:rPr>
              <w:t>(</w:t>
            </w:r>
            <w:r w:rsidR="00390FFC">
              <w:rPr>
                <w:sz w:val="20"/>
                <w:szCs w:val="20"/>
              </w:rPr>
              <w:t>1,</w:t>
            </w:r>
            <w:r w:rsidR="009100D0">
              <w:rPr>
                <w:sz w:val="20"/>
                <w:szCs w:val="20"/>
              </w:rPr>
              <w:t>782,357</w:t>
            </w:r>
            <w:r>
              <w:rPr>
                <w:sz w:val="20"/>
                <w:szCs w:val="20"/>
              </w:rPr>
              <w:t>)</w:t>
            </w:r>
          </w:p>
        </w:tc>
      </w:tr>
      <w:tr w:rsidR="00390FFC" w14:paraId="08789ED6" w14:textId="77777777" w:rsidTr="00760411">
        <w:trPr>
          <w:trHeight w:val="300"/>
        </w:trPr>
        <w:tc>
          <w:tcPr>
            <w:tcW w:w="4253" w:type="dxa"/>
            <w:tcBorders>
              <w:top w:val="single" w:sz="4" w:space="0" w:color="auto"/>
            </w:tcBorders>
            <w:vAlign w:val="bottom"/>
          </w:tcPr>
          <w:p w14:paraId="61F48F71" w14:textId="77777777" w:rsidR="00390FFC" w:rsidRDefault="00390FFC" w:rsidP="00390FFC">
            <w:pPr>
              <w:rPr>
                <w:b/>
                <w:bCs/>
                <w:sz w:val="20"/>
                <w:szCs w:val="20"/>
              </w:rPr>
            </w:pPr>
          </w:p>
        </w:tc>
        <w:tc>
          <w:tcPr>
            <w:tcW w:w="1275" w:type="dxa"/>
            <w:tcBorders>
              <w:top w:val="single" w:sz="4" w:space="0" w:color="auto"/>
            </w:tcBorders>
            <w:vAlign w:val="bottom"/>
          </w:tcPr>
          <w:p w14:paraId="7E2FDEA7" w14:textId="77777777" w:rsidR="00390FFC" w:rsidRPr="00D73880" w:rsidRDefault="00390FFC" w:rsidP="00390FFC">
            <w:pPr>
              <w:tabs>
                <w:tab w:val="decimal" w:pos="879"/>
              </w:tabs>
              <w:rPr>
                <w:sz w:val="20"/>
                <w:szCs w:val="20"/>
              </w:rPr>
            </w:pPr>
          </w:p>
        </w:tc>
        <w:tc>
          <w:tcPr>
            <w:tcW w:w="1276" w:type="dxa"/>
            <w:tcBorders>
              <w:top w:val="single" w:sz="4" w:space="0" w:color="auto"/>
            </w:tcBorders>
            <w:vAlign w:val="bottom"/>
          </w:tcPr>
          <w:p w14:paraId="0D7DAF7F" w14:textId="77777777" w:rsidR="00390FFC" w:rsidRPr="00D73880" w:rsidRDefault="00390FFC" w:rsidP="00390FFC">
            <w:pPr>
              <w:tabs>
                <w:tab w:val="decimal" w:pos="879"/>
              </w:tabs>
              <w:rPr>
                <w:sz w:val="20"/>
                <w:szCs w:val="20"/>
              </w:rPr>
            </w:pPr>
          </w:p>
        </w:tc>
        <w:tc>
          <w:tcPr>
            <w:tcW w:w="1276" w:type="dxa"/>
            <w:tcBorders>
              <w:top w:val="single" w:sz="4" w:space="0" w:color="auto"/>
            </w:tcBorders>
            <w:vAlign w:val="bottom"/>
          </w:tcPr>
          <w:p w14:paraId="29C2544F" w14:textId="77777777" w:rsidR="00390FFC" w:rsidRPr="00D73880" w:rsidRDefault="00390FFC" w:rsidP="00390FFC">
            <w:pPr>
              <w:tabs>
                <w:tab w:val="decimal" w:pos="879"/>
              </w:tabs>
              <w:rPr>
                <w:sz w:val="20"/>
                <w:szCs w:val="20"/>
              </w:rPr>
            </w:pPr>
          </w:p>
        </w:tc>
        <w:tc>
          <w:tcPr>
            <w:tcW w:w="1276" w:type="dxa"/>
            <w:tcBorders>
              <w:top w:val="single" w:sz="4" w:space="0" w:color="auto"/>
            </w:tcBorders>
            <w:vAlign w:val="bottom"/>
          </w:tcPr>
          <w:p w14:paraId="1F2924E1" w14:textId="77777777" w:rsidR="00390FFC" w:rsidRPr="003A7B1D" w:rsidRDefault="00390FFC" w:rsidP="00390FFC">
            <w:pPr>
              <w:tabs>
                <w:tab w:val="decimal" w:pos="879"/>
              </w:tabs>
              <w:rPr>
                <w:sz w:val="20"/>
                <w:szCs w:val="20"/>
              </w:rPr>
            </w:pPr>
          </w:p>
        </w:tc>
      </w:tr>
      <w:tr w:rsidR="00390FFC" w14:paraId="4C694A7C" w14:textId="77777777" w:rsidTr="008C65E0">
        <w:trPr>
          <w:trHeight w:val="176"/>
        </w:trPr>
        <w:tc>
          <w:tcPr>
            <w:tcW w:w="4253" w:type="dxa"/>
            <w:vAlign w:val="bottom"/>
          </w:tcPr>
          <w:p w14:paraId="542727DB" w14:textId="73125FD0" w:rsidR="00390FFC" w:rsidRDefault="00390FFC" w:rsidP="00390FFC">
            <w:pPr>
              <w:rPr>
                <w:b/>
                <w:bCs/>
                <w:sz w:val="20"/>
                <w:szCs w:val="20"/>
              </w:rPr>
            </w:pPr>
            <w:r w:rsidRPr="006975EC">
              <w:rPr>
                <w:b/>
                <w:bCs/>
                <w:color w:val="000000"/>
                <w:sz w:val="20"/>
                <w:szCs w:val="20"/>
              </w:rPr>
              <w:t>Other</w:t>
            </w:r>
            <w:r>
              <w:rPr>
                <w:b/>
                <w:bCs/>
                <w:color w:val="000000"/>
                <w:sz w:val="20"/>
                <w:szCs w:val="20"/>
              </w:rPr>
              <w:t xml:space="preserve"> </w:t>
            </w:r>
            <w:r w:rsidR="004744BE">
              <w:rPr>
                <w:b/>
                <w:bCs/>
                <w:color w:val="000000"/>
                <w:sz w:val="20"/>
                <w:szCs w:val="20"/>
              </w:rPr>
              <w:t>income (expenses)</w:t>
            </w:r>
          </w:p>
        </w:tc>
        <w:tc>
          <w:tcPr>
            <w:tcW w:w="1275" w:type="dxa"/>
            <w:vAlign w:val="bottom"/>
          </w:tcPr>
          <w:p w14:paraId="7D30E2E8" w14:textId="77777777" w:rsidR="00390FFC" w:rsidRPr="00D73880" w:rsidRDefault="00390FFC" w:rsidP="00390FFC">
            <w:pPr>
              <w:tabs>
                <w:tab w:val="decimal" w:pos="879"/>
              </w:tabs>
              <w:rPr>
                <w:sz w:val="20"/>
                <w:szCs w:val="20"/>
              </w:rPr>
            </w:pPr>
          </w:p>
        </w:tc>
        <w:tc>
          <w:tcPr>
            <w:tcW w:w="1276" w:type="dxa"/>
            <w:vAlign w:val="bottom"/>
          </w:tcPr>
          <w:p w14:paraId="577DE321" w14:textId="77777777" w:rsidR="00390FFC" w:rsidRPr="00D73880" w:rsidRDefault="00390FFC" w:rsidP="00390FFC">
            <w:pPr>
              <w:tabs>
                <w:tab w:val="decimal" w:pos="879"/>
              </w:tabs>
              <w:rPr>
                <w:sz w:val="20"/>
                <w:szCs w:val="20"/>
              </w:rPr>
            </w:pPr>
          </w:p>
        </w:tc>
        <w:tc>
          <w:tcPr>
            <w:tcW w:w="1276" w:type="dxa"/>
            <w:vAlign w:val="bottom"/>
          </w:tcPr>
          <w:p w14:paraId="137F44C7" w14:textId="77777777" w:rsidR="00390FFC" w:rsidRPr="00D73880" w:rsidRDefault="00390FFC" w:rsidP="00390FFC">
            <w:pPr>
              <w:tabs>
                <w:tab w:val="decimal" w:pos="879"/>
              </w:tabs>
              <w:rPr>
                <w:sz w:val="20"/>
                <w:szCs w:val="20"/>
              </w:rPr>
            </w:pPr>
          </w:p>
        </w:tc>
        <w:tc>
          <w:tcPr>
            <w:tcW w:w="1276" w:type="dxa"/>
            <w:vAlign w:val="bottom"/>
          </w:tcPr>
          <w:p w14:paraId="147E4D54" w14:textId="77777777" w:rsidR="00390FFC" w:rsidRPr="003A7B1D" w:rsidRDefault="00390FFC" w:rsidP="00390FFC">
            <w:pPr>
              <w:tabs>
                <w:tab w:val="decimal" w:pos="879"/>
              </w:tabs>
              <w:rPr>
                <w:sz w:val="20"/>
                <w:szCs w:val="20"/>
              </w:rPr>
            </w:pPr>
          </w:p>
        </w:tc>
      </w:tr>
      <w:tr w:rsidR="00914B82" w14:paraId="20C174D7" w14:textId="77777777" w:rsidTr="008C65E0">
        <w:trPr>
          <w:trHeight w:val="176"/>
        </w:trPr>
        <w:tc>
          <w:tcPr>
            <w:tcW w:w="4253" w:type="dxa"/>
            <w:vAlign w:val="bottom"/>
          </w:tcPr>
          <w:p w14:paraId="6EF69605" w14:textId="31CA27AA" w:rsidR="00914B82" w:rsidRPr="00067D31" w:rsidRDefault="00914B82" w:rsidP="00914B82">
            <w:pPr>
              <w:ind w:left="180"/>
              <w:rPr>
                <w:color w:val="000000"/>
                <w:sz w:val="20"/>
                <w:szCs w:val="20"/>
              </w:rPr>
            </w:pPr>
            <w:r w:rsidRPr="008C65E0">
              <w:rPr>
                <w:color w:val="000000"/>
                <w:sz w:val="20"/>
                <w:szCs w:val="20"/>
              </w:rPr>
              <w:t>Convertible debentures and lease liabilities (Notes 10 and 13)</w:t>
            </w:r>
          </w:p>
        </w:tc>
        <w:tc>
          <w:tcPr>
            <w:tcW w:w="1275" w:type="dxa"/>
            <w:vAlign w:val="bottom"/>
          </w:tcPr>
          <w:p w14:paraId="33607DA0" w14:textId="77777777" w:rsidR="00914B82" w:rsidRPr="008C65E0" w:rsidRDefault="00914B82" w:rsidP="00914B82">
            <w:pPr>
              <w:tabs>
                <w:tab w:val="left" w:pos="936"/>
              </w:tabs>
              <w:rPr>
                <w:sz w:val="20"/>
                <w:szCs w:val="20"/>
              </w:rPr>
            </w:pPr>
          </w:p>
          <w:p w14:paraId="04E63FD2" w14:textId="17C026F0" w:rsidR="00914B82" w:rsidRPr="00067D31" w:rsidRDefault="00914B82" w:rsidP="00914B82">
            <w:pPr>
              <w:tabs>
                <w:tab w:val="decimal" w:pos="879"/>
              </w:tabs>
              <w:rPr>
                <w:sz w:val="20"/>
                <w:szCs w:val="20"/>
              </w:rPr>
            </w:pPr>
            <w:r w:rsidRPr="008C65E0">
              <w:rPr>
                <w:sz w:val="20"/>
                <w:szCs w:val="20"/>
              </w:rPr>
              <w:t>(51,757)</w:t>
            </w:r>
          </w:p>
        </w:tc>
        <w:tc>
          <w:tcPr>
            <w:tcW w:w="1276" w:type="dxa"/>
            <w:vAlign w:val="bottom"/>
          </w:tcPr>
          <w:p w14:paraId="41A2876D" w14:textId="77777777" w:rsidR="00914B82" w:rsidRPr="008C65E0" w:rsidRDefault="00914B82" w:rsidP="00914B82">
            <w:pPr>
              <w:tabs>
                <w:tab w:val="left" w:pos="936"/>
              </w:tabs>
              <w:rPr>
                <w:sz w:val="20"/>
                <w:szCs w:val="20"/>
              </w:rPr>
            </w:pPr>
          </w:p>
          <w:p w14:paraId="102B1476" w14:textId="133229F5" w:rsidR="00914B82" w:rsidRPr="00067D31" w:rsidRDefault="00914B82" w:rsidP="00914B82">
            <w:pPr>
              <w:tabs>
                <w:tab w:val="decimal" w:pos="879"/>
              </w:tabs>
              <w:rPr>
                <w:sz w:val="20"/>
                <w:szCs w:val="20"/>
              </w:rPr>
            </w:pPr>
            <w:r w:rsidRPr="008C65E0">
              <w:rPr>
                <w:sz w:val="20"/>
                <w:szCs w:val="20"/>
              </w:rPr>
              <w:t>(9,705)</w:t>
            </w:r>
          </w:p>
        </w:tc>
        <w:tc>
          <w:tcPr>
            <w:tcW w:w="1276" w:type="dxa"/>
            <w:vAlign w:val="bottom"/>
          </w:tcPr>
          <w:p w14:paraId="068048D1" w14:textId="77777777" w:rsidR="00914B82" w:rsidRPr="008C65E0" w:rsidRDefault="00914B82" w:rsidP="00914B82">
            <w:pPr>
              <w:tabs>
                <w:tab w:val="decimal" w:pos="936"/>
              </w:tabs>
              <w:rPr>
                <w:sz w:val="20"/>
                <w:szCs w:val="20"/>
              </w:rPr>
            </w:pPr>
          </w:p>
          <w:p w14:paraId="5FBCBD0B" w14:textId="02761EDF" w:rsidR="00914B82" w:rsidRPr="00067D31" w:rsidRDefault="00914B82" w:rsidP="00914B82">
            <w:pPr>
              <w:tabs>
                <w:tab w:val="decimal" w:pos="879"/>
              </w:tabs>
              <w:rPr>
                <w:color w:val="000000"/>
                <w:sz w:val="20"/>
                <w:szCs w:val="20"/>
              </w:rPr>
            </w:pPr>
            <w:r w:rsidRPr="008C65E0">
              <w:rPr>
                <w:sz w:val="20"/>
                <w:szCs w:val="20"/>
              </w:rPr>
              <w:t>(83,738)</w:t>
            </w:r>
          </w:p>
        </w:tc>
        <w:tc>
          <w:tcPr>
            <w:tcW w:w="1276" w:type="dxa"/>
            <w:vAlign w:val="bottom"/>
          </w:tcPr>
          <w:p w14:paraId="088AF32F" w14:textId="77777777" w:rsidR="00914B82" w:rsidRPr="008C65E0" w:rsidRDefault="00914B82" w:rsidP="00914B82">
            <w:pPr>
              <w:tabs>
                <w:tab w:val="decimal" w:pos="936"/>
              </w:tabs>
              <w:rPr>
                <w:sz w:val="20"/>
                <w:szCs w:val="20"/>
              </w:rPr>
            </w:pPr>
          </w:p>
          <w:p w14:paraId="66AD4874" w14:textId="559FFEF5" w:rsidR="00914B82" w:rsidRPr="00067D31" w:rsidRDefault="00914B82" w:rsidP="00914B82">
            <w:pPr>
              <w:tabs>
                <w:tab w:val="decimal" w:pos="879"/>
              </w:tabs>
              <w:rPr>
                <w:sz w:val="20"/>
                <w:szCs w:val="20"/>
              </w:rPr>
            </w:pPr>
            <w:r w:rsidRPr="008C65E0">
              <w:rPr>
                <w:sz w:val="20"/>
                <w:szCs w:val="20"/>
              </w:rPr>
              <w:t>(20,422)</w:t>
            </w:r>
          </w:p>
        </w:tc>
      </w:tr>
      <w:tr w:rsidR="00914B82" w14:paraId="608A1D22" w14:textId="77777777" w:rsidTr="008C65E0">
        <w:trPr>
          <w:trHeight w:val="176"/>
        </w:trPr>
        <w:tc>
          <w:tcPr>
            <w:tcW w:w="4253" w:type="dxa"/>
            <w:vAlign w:val="bottom"/>
          </w:tcPr>
          <w:p w14:paraId="25D1A027" w14:textId="25B258D5" w:rsidR="00914B82" w:rsidRDefault="00914B82" w:rsidP="00914B82">
            <w:pPr>
              <w:ind w:left="180"/>
              <w:rPr>
                <w:b/>
                <w:bCs/>
                <w:sz w:val="20"/>
                <w:szCs w:val="20"/>
              </w:rPr>
            </w:pPr>
            <w:r w:rsidRPr="006975EC">
              <w:rPr>
                <w:color w:val="000000"/>
                <w:sz w:val="20"/>
                <w:szCs w:val="20"/>
              </w:rPr>
              <w:t xml:space="preserve">Loss on settlement of convertible debentures (Note </w:t>
            </w:r>
            <w:r>
              <w:rPr>
                <w:color w:val="000000"/>
                <w:sz w:val="20"/>
                <w:szCs w:val="20"/>
              </w:rPr>
              <w:t>10</w:t>
            </w:r>
            <w:r w:rsidRPr="006975EC">
              <w:rPr>
                <w:color w:val="000000"/>
                <w:sz w:val="20"/>
                <w:szCs w:val="20"/>
              </w:rPr>
              <w:t>)</w:t>
            </w:r>
          </w:p>
        </w:tc>
        <w:tc>
          <w:tcPr>
            <w:tcW w:w="1275" w:type="dxa"/>
            <w:vAlign w:val="bottom"/>
          </w:tcPr>
          <w:p w14:paraId="75F9B24F" w14:textId="2504F8A0" w:rsidR="00914B82" w:rsidRPr="00D73880" w:rsidRDefault="00914B82" w:rsidP="00914B82">
            <w:pPr>
              <w:tabs>
                <w:tab w:val="decimal" w:pos="879"/>
              </w:tabs>
              <w:rPr>
                <w:sz w:val="20"/>
                <w:szCs w:val="20"/>
              </w:rPr>
            </w:pPr>
            <w:r>
              <w:rPr>
                <w:sz w:val="20"/>
                <w:szCs w:val="20"/>
              </w:rPr>
              <w:t>-</w:t>
            </w:r>
          </w:p>
        </w:tc>
        <w:tc>
          <w:tcPr>
            <w:tcW w:w="1276" w:type="dxa"/>
            <w:vAlign w:val="bottom"/>
          </w:tcPr>
          <w:p w14:paraId="073A7F1B" w14:textId="7D024D93" w:rsidR="00914B82" w:rsidRPr="00D73880" w:rsidRDefault="00914B82" w:rsidP="00914B82">
            <w:pPr>
              <w:tabs>
                <w:tab w:val="decimal" w:pos="879"/>
              </w:tabs>
              <w:rPr>
                <w:sz w:val="20"/>
                <w:szCs w:val="20"/>
              </w:rPr>
            </w:pPr>
            <w:r>
              <w:rPr>
                <w:sz w:val="20"/>
                <w:szCs w:val="20"/>
              </w:rPr>
              <w:t>-</w:t>
            </w:r>
          </w:p>
        </w:tc>
        <w:tc>
          <w:tcPr>
            <w:tcW w:w="1276" w:type="dxa"/>
            <w:vAlign w:val="bottom"/>
          </w:tcPr>
          <w:p w14:paraId="6A2AF2C4" w14:textId="25FFA855" w:rsidR="00914B82" w:rsidRPr="00D73880" w:rsidRDefault="00914B82" w:rsidP="00914B82">
            <w:pPr>
              <w:tabs>
                <w:tab w:val="decimal" w:pos="879"/>
              </w:tabs>
              <w:rPr>
                <w:sz w:val="20"/>
                <w:szCs w:val="20"/>
              </w:rPr>
            </w:pPr>
            <w:r>
              <w:rPr>
                <w:color w:val="000000"/>
                <w:sz w:val="20"/>
                <w:szCs w:val="20"/>
              </w:rPr>
              <w:t>(22,036)</w:t>
            </w:r>
          </w:p>
        </w:tc>
        <w:tc>
          <w:tcPr>
            <w:tcW w:w="1276" w:type="dxa"/>
            <w:vAlign w:val="bottom"/>
          </w:tcPr>
          <w:p w14:paraId="0CB03FBE" w14:textId="36D823CA" w:rsidR="00914B82" w:rsidRPr="003A7B1D" w:rsidRDefault="00914B82" w:rsidP="00914B82">
            <w:pPr>
              <w:tabs>
                <w:tab w:val="decimal" w:pos="879"/>
              </w:tabs>
              <w:rPr>
                <w:sz w:val="20"/>
                <w:szCs w:val="20"/>
              </w:rPr>
            </w:pPr>
            <w:r>
              <w:rPr>
                <w:sz w:val="20"/>
                <w:szCs w:val="20"/>
              </w:rPr>
              <w:t>-</w:t>
            </w:r>
          </w:p>
        </w:tc>
      </w:tr>
      <w:tr w:rsidR="00914B82" w14:paraId="08AB5AAC" w14:textId="77777777" w:rsidTr="008C65E0">
        <w:trPr>
          <w:trHeight w:val="176"/>
        </w:trPr>
        <w:tc>
          <w:tcPr>
            <w:tcW w:w="4253" w:type="dxa"/>
            <w:vAlign w:val="bottom"/>
          </w:tcPr>
          <w:p w14:paraId="6FBA23C2" w14:textId="0993562B" w:rsidR="00914B82" w:rsidRPr="006975EC" w:rsidRDefault="00914B82" w:rsidP="00914B82">
            <w:pPr>
              <w:ind w:left="180"/>
              <w:rPr>
                <w:color w:val="000000"/>
                <w:sz w:val="20"/>
                <w:szCs w:val="20"/>
              </w:rPr>
            </w:pPr>
            <w:r>
              <w:rPr>
                <w:color w:val="000000"/>
                <w:sz w:val="20"/>
                <w:szCs w:val="20"/>
              </w:rPr>
              <w:t>Loss on recognition of sublease (Note 13)</w:t>
            </w:r>
          </w:p>
        </w:tc>
        <w:tc>
          <w:tcPr>
            <w:tcW w:w="1275" w:type="dxa"/>
            <w:vAlign w:val="bottom"/>
          </w:tcPr>
          <w:p w14:paraId="52FAAAF5" w14:textId="7A3D68E3" w:rsidR="00914B82" w:rsidRPr="00D73880" w:rsidRDefault="00914B82" w:rsidP="00914B82">
            <w:pPr>
              <w:tabs>
                <w:tab w:val="decimal" w:pos="879"/>
              </w:tabs>
              <w:rPr>
                <w:sz w:val="20"/>
                <w:szCs w:val="20"/>
              </w:rPr>
            </w:pPr>
            <w:r>
              <w:rPr>
                <w:sz w:val="20"/>
                <w:szCs w:val="20"/>
              </w:rPr>
              <w:t>(12,096)</w:t>
            </w:r>
          </w:p>
        </w:tc>
        <w:tc>
          <w:tcPr>
            <w:tcW w:w="1276" w:type="dxa"/>
            <w:vAlign w:val="bottom"/>
          </w:tcPr>
          <w:p w14:paraId="757D5EFA" w14:textId="5C670D44" w:rsidR="00914B82" w:rsidRPr="00D73880" w:rsidRDefault="00914B82" w:rsidP="00914B82">
            <w:pPr>
              <w:tabs>
                <w:tab w:val="decimal" w:pos="879"/>
              </w:tabs>
              <w:rPr>
                <w:sz w:val="20"/>
                <w:szCs w:val="20"/>
              </w:rPr>
            </w:pPr>
            <w:r>
              <w:rPr>
                <w:sz w:val="20"/>
                <w:szCs w:val="20"/>
              </w:rPr>
              <w:t>-</w:t>
            </w:r>
          </w:p>
        </w:tc>
        <w:tc>
          <w:tcPr>
            <w:tcW w:w="1276" w:type="dxa"/>
            <w:vAlign w:val="bottom"/>
          </w:tcPr>
          <w:p w14:paraId="65B1A530" w14:textId="2C21AE87" w:rsidR="00914B82" w:rsidRPr="00D73880" w:rsidRDefault="00914B82" w:rsidP="00914B82">
            <w:pPr>
              <w:tabs>
                <w:tab w:val="decimal" w:pos="879"/>
              </w:tabs>
              <w:rPr>
                <w:sz w:val="20"/>
                <w:szCs w:val="20"/>
              </w:rPr>
            </w:pPr>
            <w:r>
              <w:rPr>
                <w:color w:val="000000"/>
                <w:sz w:val="20"/>
                <w:szCs w:val="20"/>
              </w:rPr>
              <w:t>(12,096)</w:t>
            </w:r>
          </w:p>
        </w:tc>
        <w:tc>
          <w:tcPr>
            <w:tcW w:w="1276" w:type="dxa"/>
            <w:vAlign w:val="bottom"/>
          </w:tcPr>
          <w:p w14:paraId="6B1B12C1" w14:textId="1CE1BB2D" w:rsidR="00914B82" w:rsidRPr="003A7B1D" w:rsidRDefault="00914B82" w:rsidP="00914B82">
            <w:pPr>
              <w:tabs>
                <w:tab w:val="decimal" w:pos="879"/>
              </w:tabs>
              <w:rPr>
                <w:sz w:val="20"/>
                <w:szCs w:val="20"/>
              </w:rPr>
            </w:pPr>
            <w:r>
              <w:rPr>
                <w:sz w:val="20"/>
                <w:szCs w:val="20"/>
              </w:rPr>
              <w:t>-</w:t>
            </w:r>
          </w:p>
        </w:tc>
      </w:tr>
      <w:tr w:rsidR="00914B82" w14:paraId="3E368557" w14:textId="77777777" w:rsidTr="008C65E0">
        <w:trPr>
          <w:trHeight w:val="176"/>
        </w:trPr>
        <w:tc>
          <w:tcPr>
            <w:tcW w:w="4253" w:type="dxa"/>
            <w:tcBorders>
              <w:bottom w:val="single" w:sz="4" w:space="0" w:color="auto"/>
            </w:tcBorders>
            <w:vAlign w:val="bottom"/>
          </w:tcPr>
          <w:p w14:paraId="097CCAF2" w14:textId="42F96120" w:rsidR="00914B82" w:rsidRPr="006975EC" w:rsidRDefault="00914B82" w:rsidP="00914B82">
            <w:pPr>
              <w:ind w:left="180"/>
              <w:rPr>
                <w:color w:val="000000"/>
                <w:sz w:val="20"/>
                <w:szCs w:val="20"/>
              </w:rPr>
            </w:pPr>
            <w:r>
              <w:rPr>
                <w:color w:val="000000"/>
                <w:sz w:val="20"/>
                <w:szCs w:val="20"/>
              </w:rPr>
              <w:t>Write-off of accounts payable</w:t>
            </w:r>
          </w:p>
        </w:tc>
        <w:tc>
          <w:tcPr>
            <w:tcW w:w="1275" w:type="dxa"/>
            <w:tcBorders>
              <w:bottom w:val="single" w:sz="4" w:space="0" w:color="auto"/>
            </w:tcBorders>
            <w:vAlign w:val="bottom"/>
          </w:tcPr>
          <w:p w14:paraId="13825965" w14:textId="4F4A9370" w:rsidR="00914B82" w:rsidRPr="00D73880" w:rsidRDefault="00914B82" w:rsidP="00914B82">
            <w:pPr>
              <w:tabs>
                <w:tab w:val="decimal" w:pos="879"/>
              </w:tabs>
              <w:rPr>
                <w:sz w:val="20"/>
                <w:szCs w:val="20"/>
              </w:rPr>
            </w:pPr>
            <w:r>
              <w:rPr>
                <w:sz w:val="20"/>
                <w:szCs w:val="20"/>
              </w:rPr>
              <w:t>8,229</w:t>
            </w:r>
          </w:p>
        </w:tc>
        <w:tc>
          <w:tcPr>
            <w:tcW w:w="1276" w:type="dxa"/>
            <w:tcBorders>
              <w:bottom w:val="single" w:sz="4" w:space="0" w:color="auto"/>
            </w:tcBorders>
            <w:vAlign w:val="bottom"/>
          </w:tcPr>
          <w:p w14:paraId="0AAC2301" w14:textId="7874D61F" w:rsidR="00914B82" w:rsidRPr="00D73880" w:rsidRDefault="00914B82" w:rsidP="00914B82">
            <w:pPr>
              <w:tabs>
                <w:tab w:val="decimal" w:pos="879"/>
              </w:tabs>
              <w:rPr>
                <w:sz w:val="20"/>
                <w:szCs w:val="20"/>
              </w:rPr>
            </w:pPr>
            <w:r>
              <w:rPr>
                <w:sz w:val="20"/>
                <w:szCs w:val="20"/>
              </w:rPr>
              <w:t>-</w:t>
            </w:r>
          </w:p>
        </w:tc>
        <w:tc>
          <w:tcPr>
            <w:tcW w:w="1276" w:type="dxa"/>
            <w:tcBorders>
              <w:bottom w:val="single" w:sz="4" w:space="0" w:color="auto"/>
            </w:tcBorders>
            <w:vAlign w:val="bottom"/>
          </w:tcPr>
          <w:p w14:paraId="08C79065" w14:textId="58BA6991" w:rsidR="00914B82" w:rsidRPr="00D73880" w:rsidRDefault="00914B82" w:rsidP="00914B82">
            <w:pPr>
              <w:tabs>
                <w:tab w:val="decimal" w:pos="879"/>
              </w:tabs>
              <w:rPr>
                <w:sz w:val="20"/>
                <w:szCs w:val="20"/>
              </w:rPr>
            </w:pPr>
            <w:r>
              <w:rPr>
                <w:color w:val="000000"/>
                <w:sz w:val="20"/>
                <w:szCs w:val="20"/>
              </w:rPr>
              <w:t>8,229</w:t>
            </w:r>
          </w:p>
        </w:tc>
        <w:tc>
          <w:tcPr>
            <w:tcW w:w="1276" w:type="dxa"/>
            <w:tcBorders>
              <w:bottom w:val="single" w:sz="4" w:space="0" w:color="auto"/>
            </w:tcBorders>
            <w:vAlign w:val="bottom"/>
          </w:tcPr>
          <w:p w14:paraId="6AFB1A8D" w14:textId="1AD66911" w:rsidR="00914B82" w:rsidRPr="003A7B1D" w:rsidRDefault="00914B82" w:rsidP="00914B82">
            <w:pPr>
              <w:tabs>
                <w:tab w:val="decimal" w:pos="879"/>
              </w:tabs>
              <w:rPr>
                <w:sz w:val="20"/>
                <w:szCs w:val="20"/>
              </w:rPr>
            </w:pPr>
            <w:r>
              <w:rPr>
                <w:sz w:val="20"/>
                <w:szCs w:val="20"/>
              </w:rPr>
              <w:t>-</w:t>
            </w:r>
          </w:p>
        </w:tc>
      </w:tr>
      <w:tr w:rsidR="00914B82" w14:paraId="1C0BF29E" w14:textId="77777777" w:rsidTr="008C65E0">
        <w:trPr>
          <w:trHeight w:val="176"/>
        </w:trPr>
        <w:tc>
          <w:tcPr>
            <w:tcW w:w="4253" w:type="dxa"/>
            <w:tcBorders>
              <w:bottom w:val="single" w:sz="4" w:space="0" w:color="auto"/>
            </w:tcBorders>
            <w:vAlign w:val="bottom"/>
          </w:tcPr>
          <w:p w14:paraId="3A23AB12" w14:textId="1223D10E" w:rsidR="00914B82" w:rsidRPr="006975EC" w:rsidRDefault="00914B82" w:rsidP="00914B82">
            <w:pPr>
              <w:rPr>
                <w:color w:val="000000"/>
                <w:sz w:val="20"/>
                <w:szCs w:val="20"/>
              </w:rPr>
            </w:pPr>
            <w:r>
              <w:rPr>
                <w:b/>
                <w:bCs/>
                <w:color w:val="000000"/>
                <w:sz w:val="20"/>
                <w:szCs w:val="20"/>
              </w:rPr>
              <w:t>Total o</w:t>
            </w:r>
            <w:r w:rsidRPr="006975EC">
              <w:rPr>
                <w:b/>
                <w:bCs/>
                <w:color w:val="000000"/>
                <w:sz w:val="20"/>
                <w:szCs w:val="20"/>
              </w:rPr>
              <w:t xml:space="preserve">ther </w:t>
            </w:r>
            <w:r>
              <w:rPr>
                <w:b/>
                <w:bCs/>
                <w:color w:val="000000"/>
                <w:sz w:val="20"/>
                <w:szCs w:val="20"/>
              </w:rPr>
              <w:t>income (expenses)</w:t>
            </w:r>
            <w:r>
              <w:rPr>
                <w:color w:val="000000"/>
                <w:sz w:val="20"/>
                <w:szCs w:val="20"/>
              </w:rPr>
              <w:t xml:space="preserve"> </w:t>
            </w:r>
          </w:p>
        </w:tc>
        <w:tc>
          <w:tcPr>
            <w:tcW w:w="1275" w:type="dxa"/>
            <w:tcBorders>
              <w:bottom w:val="single" w:sz="4" w:space="0" w:color="auto"/>
            </w:tcBorders>
            <w:vAlign w:val="bottom"/>
          </w:tcPr>
          <w:p w14:paraId="0566AA1C" w14:textId="1D947545" w:rsidR="00914B82" w:rsidRPr="00D73880" w:rsidRDefault="00914B82" w:rsidP="00914B82">
            <w:pPr>
              <w:tabs>
                <w:tab w:val="decimal" w:pos="879"/>
              </w:tabs>
              <w:rPr>
                <w:sz w:val="20"/>
                <w:szCs w:val="20"/>
              </w:rPr>
            </w:pPr>
            <w:r>
              <w:rPr>
                <w:sz w:val="20"/>
                <w:szCs w:val="20"/>
              </w:rPr>
              <w:t>(</w:t>
            </w:r>
            <w:r w:rsidR="008456D2">
              <w:rPr>
                <w:sz w:val="20"/>
                <w:szCs w:val="20"/>
              </w:rPr>
              <w:t>55,624</w:t>
            </w:r>
            <w:r>
              <w:rPr>
                <w:sz w:val="20"/>
                <w:szCs w:val="20"/>
              </w:rPr>
              <w:t>)</w:t>
            </w:r>
          </w:p>
        </w:tc>
        <w:tc>
          <w:tcPr>
            <w:tcW w:w="1276" w:type="dxa"/>
            <w:tcBorders>
              <w:bottom w:val="single" w:sz="4" w:space="0" w:color="auto"/>
            </w:tcBorders>
            <w:vAlign w:val="bottom"/>
          </w:tcPr>
          <w:p w14:paraId="4E989C1C" w14:textId="6363A47E" w:rsidR="00914B82" w:rsidRPr="00D73880" w:rsidRDefault="008456D2" w:rsidP="00914B82">
            <w:pPr>
              <w:tabs>
                <w:tab w:val="decimal" w:pos="879"/>
              </w:tabs>
              <w:rPr>
                <w:sz w:val="20"/>
                <w:szCs w:val="20"/>
              </w:rPr>
            </w:pPr>
            <w:r>
              <w:rPr>
                <w:sz w:val="20"/>
                <w:szCs w:val="20"/>
              </w:rPr>
              <w:t>(9,705)</w:t>
            </w:r>
          </w:p>
        </w:tc>
        <w:tc>
          <w:tcPr>
            <w:tcW w:w="1276" w:type="dxa"/>
            <w:tcBorders>
              <w:bottom w:val="single" w:sz="4" w:space="0" w:color="auto"/>
            </w:tcBorders>
            <w:vAlign w:val="bottom"/>
          </w:tcPr>
          <w:p w14:paraId="4FA9B0E4" w14:textId="00AA5A1B" w:rsidR="00914B82" w:rsidRPr="0064224C" w:rsidRDefault="00914B82" w:rsidP="00914B82">
            <w:pPr>
              <w:tabs>
                <w:tab w:val="decimal" w:pos="882"/>
              </w:tabs>
              <w:rPr>
                <w:color w:val="000000"/>
                <w:sz w:val="20"/>
                <w:szCs w:val="20"/>
              </w:rPr>
            </w:pPr>
            <w:r>
              <w:rPr>
                <w:color w:val="000000"/>
                <w:sz w:val="20"/>
                <w:szCs w:val="20"/>
              </w:rPr>
              <w:t>(</w:t>
            </w:r>
            <w:r w:rsidR="008456D2">
              <w:rPr>
                <w:color w:val="000000"/>
                <w:sz w:val="20"/>
                <w:szCs w:val="20"/>
              </w:rPr>
              <w:t>109,641</w:t>
            </w:r>
            <w:r>
              <w:rPr>
                <w:color w:val="000000"/>
                <w:sz w:val="20"/>
                <w:szCs w:val="20"/>
              </w:rPr>
              <w:t>)</w:t>
            </w:r>
          </w:p>
        </w:tc>
        <w:tc>
          <w:tcPr>
            <w:tcW w:w="1276" w:type="dxa"/>
            <w:tcBorders>
              <w:bottom w:val="single" w:sz="4" w:space="0" w:color="auto"/>
            </w:tcBorders>
            <w:vAlign w:val="bottom"/>
          </w:tcPr>
          <w:p w14:paraId="3BF4090C" w14:textId="224F799A" w:rsidR="00914B82" w:rsidRPr="003A7B1D" w:rsidRDefault="008456D2" w:rsidP="00914B82">
            <w:pPr>
              <w:tabs>
                <w:tab w:val="decimal" w:pos="879"/>
              </w:tabs>
              <w:rPr>
                <w:sz w:val="20"/>
                <w:szCs w:val="20"/>
              </w:rPr>
            </w:pPr>
            <w:r>
              <w:rPr>
                <w:sz w:val="20"/>
                <w:szCs w:val="20"/>
              </w:rPr>
              <w:t>(20,422)</w:t>
            </w:r>
          </w:p>
        </w:tc>
      </w:tr>
      <w:tr w:rsidR="00914B82" w14:paraId="36BBFCCD" w14:textId="77777777" w:rsidTr="00BA2C24">
        <w:trPr>
          <w:trHeight w:val="344"/>
        </w:trPr>
        <w:tc>
          <w:tcPr>
            <w:tcW w:w="4253" w:type="dxa"/>
            <w:tcBorders>
              <w:top w:val="single" w:sz="4" w:space="0" w:color="auto"/>
              <w:bottom w:val="double" w:sz="4" w:space="0" w:color="auto"/>
            </w:tcBorders>
            <w:vAlign w:val="bottom"/>
          </w:tcPr>
          <w:p w14:paraId="16723C14" w14:textId="77777777" w:rsidR="00914B82" w:rsidRPr="00255D66" w:rsidRDefault="00914B82" w:rsidP="00914B82">
            <w:pPr>
              <w:rPr>
                <w:b/>
                <w:bCs/>
                <w:sz w:val="20"/>
                <w:szCs w:val="20"/>
              </w:rPr>
            </w:pPr>
            <w:r>
              <w:rPr>
                <w:b/>
                <w:bCs/>
                <w:sz w:val="20"/>
                <w:szCs w:val="20"/>
              </w:rPr>
              <w:t>Net loss and comprehensive loss</w:t>
            </w:r>
          </w:p>
        </w:tc>
        <w:tc>
          <w:tcPr>
            <w:tcW w:w="1275" w:type="dxa"/>
            <w:tcBorders>
              <w:top w:val="single" w:sz="4" w:space="0" w:color="auto"/>
              <w:bottom w:val="double" w:sz="4" w:space="0" w:color="auto"/>
            </w:tcBorders>
            <w:vAlign w:val="bottom"/>
          </w:tcPr>
          <w:p w14:paraId="377797EB" w14:textId="605ACDB6" w:rsidR="00914B82" w:rsidRPr="00D73880" w:rsidRDefault="00914B82" w:rsidP="00914B82">
            <w:pPr>
              <w:tabs>
                <w:tab w:val="left" w:pos="0"/>
                <w:tab w:val="decimal" w:pos="936"/>
              </w:tabs>
              <w:rPr>
                <w:sz w:val="20"/>
                <w:szCs w:val="20"/>
              </w:rPr>
            </w:pPr>
            <w:r w:rsidRPr="00D73880">
              <w:rPr>
                <w:sz w:val="20"/>
                <w:szCs w:val="20"/>
              </w:rPr>
              <w:t>$</w:t>
            </w:r>
            <w:r w:rsidRPr="00D73880">
              <w:rPr>
                <w:sz w:val="20"/>
                <w:szCs w:val="20"/>
              </w:rPr>
              <w:tab/>
              <w:t>(</w:t>
            </w:r>
            <w:r>
              <w:rPr>
                <w:sz w:val="20"/>
                <w:szCs w:val="20"/>
              </w:rPr>
              <w:t>1,</w:t>
            </w:r>
            <w:r w:rsidR="00410D37">
              <w:rPr>
                <w:sz w:val="20"/>
                <w:szCs w:val="20"/>
              </w:rPr>
              <w:t>199,349</w:t>
            </w:r>
            <w:r w:rsidRPr="00D73880">
              <w:rPr>
                <w:sz w:val="20"/>
                <w:szCs w:val="20"/>
              </w:rPr>
              <w:t>)</w:t>
            </w:r>
          </w:p>
        </w:tc>
        <w:tc>
          <w:tcPr>
            <w:tcW w:w="1276" w:type="dxa"/>
            <w:tcBorders>
              <w:top w:val="single" w:sz="4" w:space="0" w:color="auto"/>
              <w:bottom w:val="double" w:sz="4" w:space="0" w:color="auto"/>
            </w:tcBorders>
            <w:vAlign w:val="bottom"/>
          </w:tcPr>
          <w:p w14:paraId="020BE53F" w14:textId="50D8DC4E" w:rsidR="00914B82" w:rsidRPr="00D73880" w:rsidRDefault="00914B82" w:rsidP="00914B82">
            <w:pPr>
              <w:tabs>
                <w:tab w:val="left" w:pos="0"/>
                <w:tab w:val="decimal" w:pos="936"/>
              </w:tabs>
              <w:rPr>
                <w:sz w:val="20"/>
                <w:szCs w:val="20"/>
              </w:rPr>
            </w:pPr>
            <w:r w:rsidRPr="00D73880">
              <w:rPr>
                <w:sz w:val="20"/>
                <w:szCs w:val="20"/>
              </w:rPr>
              <w:t>$</w:t>
            </w:r>
            <w:r w:rsidRPr="00D73880">
              <w:rPr>
                <w:sz w:val="20"/>
                <w:szCs w:val="20"/>
              </w:rPr>
              <w:tab/>
              <w:t>(</w:t>
            </w:r>
            <w:r>
              <w:rPr>
                <w:sz w:val="20"/>
                <w:szCs w:val="20"/>
              </w:rPr>
              <w:t>724,353</w:t>
            </w:r>
            <w:r w:rsidRPr="00D73880">
              <w:rPr>
                <w:sz w:val="20"/>
                <w:szCs w:val="20"/>
              </w:rPr>
              <w:t>)</w:t>
            </w:r>
          </w:p>
        </w:tc>
        <w:tc>
          <w:tcPr>
            <w:tcW w:w="1276" w:type="dxa"/>
            <w:tcBorders>
              <w:top w:val="single" w:sz="4" w:space="0" w:color="auto"/>
              <w:bottom w:val="double" w:sz="4" w:space="0" w:color="auto"/>
            </w:tcBorders>
            <w:vAlign w:val="bottom"/>
          </w:tcPr>
          <w:p w14:paraId="1D665152" w14:textId="1692B4AF" w:rsidR="00914B82" w:rsidRPr="00D73880" w:rsidRDefault="00914B82" w:rsidP="00914B82">
            <w:pPr>
              <w:tabs>
                <w:tab w:val="left" w:pos="0"/>
                <w:tab w:val="decimal" w:pos="936"/>
              </w:tabs>
              <w:ind w:right="-181"/>
              <w:rPr>
                <w:sz w:val="20"/>
                <w:szCs w:val="20"/>
              </w:rPr>
            </w:pPr>
            <w:r w:rsidRPr="00D73880">
              <w:rPr>
                <w:sz w:val="20"/>
                <w:szCs w:val="20"/>
              </w:rPr>
              <w:t>$(</w:t>
            </w:r>
            <w:r>
              <w:rPr>
                <w:sz w:val="20"/>
                <w:szCs w:val="20"/>
              </w:rPr>
              <w:t>2,</w:t>
            </w:r>
            <w:r w:rsidR="00410D37">
              <w:rPr>
                <w:sz w:val="20"/>
                <w:szCs w:val="20"/>
              </w:rPr>
              <w:t>651,797</w:t>
            </w:r>
            <w:r w:rsidRPr="00D73880">
              <w:rPr>
                <w:sz w:val="20"/>
                <w:szCs w:val="20"/>
              </w:rPr>
              <w:t>)</w:t>
            </w:r>
          </w:p>
        </w:tc>
        <w:tc>
          <w:tcPr>
            <w:tcW w:w="1276" w:type="dxa"/>
            <w:tcBorders>
              <w:top w:val="single" w:sz="4" w:space="0" w:color="auto"/>
              <w:bottom w:val="double" w:sz="4" w:space="0" w:color="auto"/>
            </w:tcBorders>
            <w:vAlign w:val="bottom"/>
          </w:tcPr>
          <w:p w14:paraId="794A6971" w14:textId="63F199A2" w:rsidR="00914B82" w:rsidRPr="003A7B1D" w:rsidRDefault="00914B82" w:rsidP="00914B82">
            <w:pPr>
              <w:tabs>
                <w:tab w:val="left" w:pos="0"/>
                <w:tab w:val="decimal" w:pos="936"/>
              </w:tabs>
              <w:rPr>
                <w:sz w:val="20"/>
                <w:szCs w:val="20"/>
              </w:rPr>
            </w:pPr>
            <w:r w:rsidRPr="00D73880">
              <w:rPr>
                <w:sz w:val="20"/>
                <w:szCs w:val="20"/>
              </w:rPr>
              <w:t>$(</w:t>
            </w:r>
            <w:r>
              <w:rPr>
                <w:sz w:val="20"/>
                <w:szCs w:val="20"/>
              </w:rPr>
              <w:t>1,550,684</w:t>
            </w:r>
            <w:r w:rsidRPr="00D73880">
              <w:rPr>
                <w:sz w:val="20"/>
                <w:szCs w:val="20"/>
              </w:rPr>
              <w:t>)</w:t>
            </w:r>
          </w:p>
        </w:tc>
      </w:tr>
      <w:tr w:rsidR="00914B82" w14:paraId="3AD86810" w14:textId="77777777" w:rsidTr="00BA2C24">
        <w:trPr>
          <w:trHeight w:val="173"/>
        </w:trPr>
        <w:tc>
          <w:tcPr>
            <w:tcW w:w="4253" w:type="dxa"/>
            <w:tcBorders>
              <w:top w:val="double" w:sz="4" w:space="0" w:color="auto"/>
            </w:tcBorders>
          </w:tcPr>
          <w:p w14:paraId="64DE1BE9" w14:textId="77777777" w:rsidR="00914B82" w:rsidRPr="0099308F" w:rsidRDefault="00914B82" w:rsidP="00914B82">
            <w:pPr>
              <w:rPr>
                <w:sz w:val="20"/>
                <w:szCs w:val="20"/>
              </w:rPr>
            </w:pPr>
          </w:p>
        </w:tc>
        <w:tc>
          <w:tcPr>
            <w:tcW w:w="1275" w:type="dxa"/>
            <w:tcBorders>
              <w:top w:val="double" w:sz="4" w:space="0" w:color="auto"/>
            </w:tcBorders>
          </w:tcPr>
          <w:p w14:paraId="37E1B8E0" w14:textId="77777777" w:rsidR="00914B82" w:rsidRPr="00D73880" w:rsidRDefault="00914B82" w:rsidP="00914B82">
            <w:pPr>
              <w:tabs>
                <w:tab w:val="left" w:pos="0"/>
                <w:tab w:val="decimal" w:pos="936"/>
              </w:tabs>
              <w:rPr>
                <w:sz w:val="20"/>
                <w:szCs w:val="20"/>
              </w:rPr>
            </w:pPr>
          </w:p>
        </w:tc>
        <w:tc>
          <w:tcPr>
            <w:tcW w:w="1276" w:type="dxa"/>
            <w:tcBorders>
              <w:top w:val="double" w:sz="4" w:space="0" w:color="auto"/>
            </w:tcBorders>
          </w:tcPr>
          <w:p w14:paraId="697E2D2F" w14:textId="77777777" w:rsidR="00914B82" w:rsidRPr="00D73880" w:rsidRDefault="00914B82" w:rsidP="00914B82">
            <w:pPr>
              <w:tabs>
                <w:tab w:val="left" w:pos="0"/>
                <w:tab w:val="decimal" w:pos="936"/>
              </w:tabs>
              <w:rPr>
                <w:sz w:val="20"/>
                <w:szCs w:val="20"/>
              </w:rPr>
            </w:pPr>
          </w:p>
        </w:tc>
        <w:tc>
          <w:tcPr>
            <w:tcW w:w="1276" w:type="dxa"/>
            <w:tcBorders>
              <w:top w:val="double" w:sz="4" w:space="0" w:color="auto"/>
            </w:tcBorders>
          </w:tcPr>
          <w:p w14:paraId="28984CAD" w14:textId="77777777" w:rsidR="00914B82" w:rsidRPr="00D73880" w:rsidRDefault="00914B82" w:rsidP="00914B82">
            <w:pPr>
              <w:tabs>
                <w:tab w:val="left" w:pos="0"/>
                <w:tab w:val="decimal" w:pos="936"/>
              </w:tabs>
              <w:rPr>
                <w:sz w:val="20"/>
                <w:szCs w:val="20"/>
              </w:rPr>
            </w:pPr>
          </w:p>
        </w:tc>
        <w:tc>
          <w:tcPr>
            <w:tcW w:w="1276" w:type="dxa"/>
            <w:tcBorders>
              <w:top w:val="double" w:sz="4" w:space="0" w:color="auto"/>
            </w:tcBorders>
          </w:tcPr>
          <w:p w14:paraId="75C25233" w14:textId="77777777" w:rsidR="00914B82" w:rsidRPr="003A7B1D" w:rsidRDefault="00914B82" w:rsidP="00914B82">
            <w:pPr>
              <w:tabs>
                <w:tab w:val="left" w:pos="0"/>
                <w:tab w:val="decimal" w:pos="936"/>
              </w:tabs>
              <w:rPr>
                <w:sz w:val="20"/>
                <w:szCs w:val="20"/>
              </w:rPr>
            </w:pPr>
          </w:p>
        </w:tc>
      </w:tr>
      <w:tr w:rsidR="00914B82" w14:paraId="16AA8094" w14:textId="77777777" w:rsidTr="00BA2C24">
        <w:trPr>
          <w:trHeight w:val="173"/>
        </w:trPr>
        <w:tc>
          <w:tcPr>
            <w:tcW w:w="4253" w:type="dxa"/>
          </w:tcPr>
          <w:p w14:paraId="1B1CF945" w14:textId="77777777" w:rsidR="00914B82" w:rsidRPr="0099308F" w:rsidRDefault="00914B82" w:rsidP="00914B82">
            <w:pPr>
              <w:rPr>
                <w:sz w:val="20"/>
                <w:szCs w:val="20"/>
              </w:rPr>
            </w:pPr>
            <w:r w:rsidRPr="0099308F">
              <w:rPr>
                <w:sz w:val="20"/>
                <w:szCs w:val="20"/>
              </w:rPr>
              <w:t>Basic and diluted loss per common share</w:t>
            </w:r>
          </w:p>
        </w:tc>
        <w:tc>
          <w:tcPr>
            <w:tcW w:w="1275" w:type="dxa"/>
          </w:tcPr>
          <w:p w14:paraId="41937C2C" w14:textId="152A50D4" w:rsidR="00914B82" w:rsidRPr="00D73880" w:rsidRDefault="00914B82" w:rsidP="00914B82">
            <w:pPr>
              <w:tabs>
                <w:tab w:val="left" w:pos="0"/>
                <w:tab w:val="decimal" w:pos="936"/>
              </w:tabs>
              <w:rPr>
                <w:sz w:val="20"/>
                <w:szCs w:val="20"/>
              </w:rPr>
            </w:pPr>
            <w:r w:rsidRPr="00D73880">
              <w:rPr>
                <w:sz w:val="20"/>
                <w:szCs w:val="20"/>
              </w:rPr>
              <w:t>$</w:t>
            </w:r>
            <w:r>
              <w:rPr>
                <w:sz w:val="20"/>
                <w:szCs w:val="20"/>
              </w:rPr>
              <w:tab/>
            </w:r>
            <w:r w:rsidRPr="00D73880">
              <w:rPr>
                <w:sz w:val="20"/>
                <w:szCs w:val="20"/>
              </w:rPr>
              <w:t>(0.0</w:t>
            </w:r>
            <w:r w:rsidR="00410D37">
              <w:rPr>
                <w:sz w:val="20"/>
                <w:szCs w:val="20"/>
              </w:rPr>
              <w:t>2</w:t>
            </w:r>
            <w:r w:rsidRPr="00D73880">
              <w:rPr>
                <w:sz w:val="20"/>
                <w:szCs w:val="20"/>
              </w:rPr>
              <w:t>)</w:t>
            </w:r>
          </w:p>
        </w:tc>
        <w:tc>
          <w:tcPr>
            <w:tcW w:w="1276" w:type="dxa"/>
          </w:tcPr>
          <w:p w14:paraId="520F6EFD" w14:textId="52BF9046" w:rsidR="00914B82" w:rsidRPr="00D73880" w:rsidRDefault="00914B82" w:rsidP="00914B82">
            <w:pPr>
              <w:tabs>
                <w:tab w:val="left" w:pos="0"/>
                <w:tab w:val="decimal" w:pos="936"/>
              </w:tabs>
              <w:rPr>
                <w:sz w:val="20"/>
                <w:szCs w:val="20"/>
              </w:rPr>
            </w:pPr>
            <w:r w:rsidRPr="00D73880">
              <w:rPr>
                <w:sz w:val="20"/>
                <w:szCs w:val="20"/>
              </w:rPr>
              <w:t>$</w:t>
            </w:r>
            <w:r>
              <w:rPr>
                <w:sz w:val="20"/>
                <w:szCs w:val="20"/>
              </w:rPr>
              <w:tab/>
            </w:r>
            <w:r w:rsidRPr="00D73880">
              <w:rPr>
                <w:sz w:val="20"/>
                <w:szCs w:val="20"/>
              </w:rPr>
              <w:t>(0.0</w:t>
            </w:r>
            <w:r>
              <w:rPr>
                <w:sz w:val="20"/>
                <w:szCs w:val="20"/>
              </w:rPr>
              <w:t>1</w:t>
            </w:r>
            <w:r w:rsidRPr="00D73880">
              <w:rPr>
                <w:sz w:val="20"/>
                <w:szCs w:val="20"/>
              </w:rPr>
              <w:t>)</w:t>
            </w:r>
          </w:p>
        </w:tc>
        <w:tc>
          <w:tcPr>
            <w:tcW w:w="1276" w:type="dxa"/>
          </w:tcPr>
          <w:p w14:paraId="3521B2EF" w14:textId="2FD6598F" w:rsidR="00914B82" w:rsidRPr="00D73880" w:rsidRDefault="00914B82" w:rsidP="00914B82">
            <w:pPr>
              <w:tabs>
                <w:tab w:val="left" w:pos="0"/>
                <w:tab w:val="decimal" w:pos="936"/>
              </w:tabs>
              <w:rPr>
                <w:sz w:val="20"/>
                <w:szCs w:val="20"/>
              </w:rPr>
            </w:pPr>
            <w:r w:rsidRPr="00D73880">
              <w:rPr>
                <w:sz w:val="20"/>
                <w:szCs w:val="20"/>
              </w:rPr>
              <w:t>$</w:t>
            </w:r>
            <w:r w:rsidRPr="00D73880">
              <w:rPr>
                <w:sz w:val="20"/>
                <w:szCs w:val="20"/>
              </w:rPr>
              <w:tab/>
              <w:t>(0.0</w:t>
            </w:r>
            <w:r>
              <w:rPr>
                <w:sz w:val="20"/>
                <w:szCs w:val="20"/>
              </w:rPr>
              <w:t>3</w:t>
            </w:r>
            <w:r w:rsidRPr="00D73880">
              <w:rPr>
                <w:sz w:val="20"/>
                <w:szCs w:val="20"/>
              </w:rPr>
              <w:t>)</w:t>
            </w:r>
          </w:p>
        </w:tc>
        <w:tc>
          <w:tcPr>
            <w:tcW w:w="1276" w:type="dxa"/>
          </w:tcPr>
          <w:p w14:paraId="68DA3830" w14:textId="78353708" w:rsidR="00914B82" w:rsidRPr="003A7B1D" w:rsidRDefault="00914B82" w:rsidP="00914B82">
            <w:pPr>
              <w:tabs>
                <w:tab w:val="left" w:pos="0"/>
                <w:tab w:val="decimal" w:pos="936"/>
              </w:tabs>
              <w:rPr>
                <w:sz w:val="20"/>
                <w:szCs w:val="20"/>
              </w:rPr>
            </w:pPr>
            <w:r w:rsidRPr="00D73880">
              <w:rPr>
                <w:sz w:val="20"/>
                <w:szCs w:val="20"/>
              </w:rPr>
              <w:t>$</w:t>
            </w:r>
            <w:r w:rsidRPr="00D73880">
              <w:rPr>
                <w:sz w:val="20"/>
                <w:szCs w:val="20"/>
              </w:rPr>
              <w:tab/>
              <w:t>(0.0</w:t>
            </w:r>
            <w:r>
              <w:rPr>
                <w:sz w:val="20"/>
                <w:szCs w:val="20"/>
              </w:rPr>
              <w:t>3</w:t>
            </w:r>
            <w:r w:rsidRPr="00D73880">
              <w:rPr>
                <w:sz w:val="20"/>
                <w:szCs w:val="20"/>
              </w:rPr>
              <w:t>)</w:t>
            </w:r>
          </w:p>
        </w:tc>
      </w:tr>
      <w:tr w:rsidR="00914B82" w14:paraId="77B4E692" w14:textId="77777777" w:rsidTr="00BA2C24">
        <w:trPr>
          <w:trHeight w:val="173"/>
        </w:trPr>
        <w:tc>
          <w:tcPr>
            <w:tcW w:w="4253" w:type="dxa"/>
          </w:tcPr>
          <w:p w14:paraId="261359E6" w14:textId="77777777" w:rsidR="00914B82" w:rsidRPr="0099308F" w:rsidRDefault="00914B82" w:rsidP="00914B82">
            <w:pPr>
              <w:rPr>
                <w:sz w:val="20"/>
                <w:szCs w:val="20"/>
              </w:rPr>
            </w:pPr>
          </w:p>
        </w:tc>
        <w:tc>
          <w:tcPr>
            <w:tcW w:w="1275" w:type="dxa"/>
          </w:tcPr>
          <w:p w14:paraId="4F6CA5DE" w14:textId="77777777" w:rsidR="00914B82" w:rsidRPr="00D73880" w:rsidRDefault="00914B82" w:rsidP="00914B82">
            <w:pPr>
              <w:rPr>
                <w:sz w:val="20"/>
                <w:szCs w:val="20"/>
              </w:rPr>
            </w:pPr>
          </w:p>
        </w:tc>
        <w:tc>
          <w:tcPr>
            <w:tcW w:w="1276" w:type="dxa"/>
          </w:tcPr>
          <w:p w14:paraId="16242345" w14:textId="77777777" w:rsidR="00914B82" w:rsidRPr="00D73880" w:rsidRDefault="00914B82" w:rsidP="00914B82">
            <w:pPr>
              <w:rPr>
                <w:sz w:val="20"/>
                <w:szCs w:val="20"/>
              </w:rPr>
            </w:pPr>
          </w:p>
        </w:tc>
        <w:tc>
          <w:tcPr>
            <w:tcW w:w="1276" w:type="dxa"/>
          </w:tcPr>
          <w:p w14:paraId="0369DDF2" w14:textId="77777777" w:rsidR="00914B82" w:rsidRPr="00D73880" w:rsidRDefault="00914B82" w:rsidP="00914B82">
            <w:pPr>
              <w:rPr>
                <w:sz w:val="20"/>
                <w:szCs w:val="20"/>
              </w:rPr>
            </w:pPr>
          </w:p>
        </w:tc>
        <w:tc>
          <w:tcPr>
            <w:tcW w:w="1276" w:type="dxa"/>
          </w:tcPr>
          <w:p w14:paraId="0F743228" w14:textId="77777777" w:rsidR="00914B82" w:rsidRPr="003A7B1D" w:rsidRDefault="00914B82" w:rsidP="00914B82">
            <w:pPr>
              <w:rPr>
                <w:sz w:val="20"/>
                <w:szCs w:val="20"/>
              </w:rPr>
            </w:pPr>
          </w:p>
        </w:tc>
      </w:tr>
      <w:tr w:rsidR="00914B82" w:rsidRPr="00B30982" w14:paraId="2C91C5FD" w14:textId="77777777" w:rsidTr="00BA2C24">
        <w:trPr>
          <w:trHeight w:val="173"/>
        </w:trPr>
        <w:tc>
          <w:tcPr>
            <w:tcW w:w="4253" w:type="dxa"/>
            <w:tcBorders>
              <w:bottom w:val="double" w:sz="4" w:space="0" w:color="auto"/>
            </w:tcBorders>
          </w:tcPr>
          <w:p w14:paraId="71FE5829" w14:textId="77777777" w:rsidR="00914B82" w:rsidRPr="0099308F" w:rsidRDefault="00914B82" w:rsidP="00914B82">
            <w:pPr>
              <w:rPr>
                <w:sz w:val="20"/>
                <w:szCs w:val="20"/>
              </w:rPr>
            </w:pPr>
            <w:r w:rsidRPr="0099308F">
              <w:rPr>
                <w:sz w:val="20"/>
                <w:szCs w:val="20"/>
              </w:rPr>
              <w:t>Weighted average number of shares outstanding – basic and diluted</w:t>
            </w:r>
          </w:p>
        </w:tc>
        <w:tc>
          <w:tcPr>
            <w:tcW w:w="1275" w:type="dxa"/>
            <w:tcBorders>
              <w:bottom w:val="double" w:sz="4" w:space="0" w:color="auto"/>
            </w:tcBorders>
          </w:tcPr>
          <w:p w14:paraId="4589171A" w14:textId="77777777" w:rsidR="00914B82" w:rsidRDefault="00914B82" w:rsidP="00914B82">
            <w:pPr>
              <w:tabs>
                <w:tab w:val="decimal" w:pos="1247"/>
              </w:tabs>
              <w:rPr>
                <w:sz w:val="20"/>
                <w:szCs w:val="20"/>
              </w:rPr>
            </w:pPr>
          </w:p>
          <w:p w14:paraId="3748242D" w14:textId="4D367CA5" w:rsidR="00914B82" w:rsidRPr="00D73880" w:rsidRDefault="00914B82" w:rsidP="00914B82">
            <w:pPr>
              <w:tabs>
                <w:tab w:val="decimal" w:pos="1247"/>
              </w:tabs>
              <w:rPr>
                <w:sz w:val="20"/>
                <w:szCs w:val="20"/>
              </w:rPr>
            </w:pPr>
            <w:r>
              <w:rPr>
                <w:sz w:val="20"/>
                <w:szCs w:val="20"/>
              </w:rPr>
              <w:t>77,604,007</w:t>
            </w:r>
          </w:p>
        </w:tc>
        <w:tc>
          <w:tcPr>
            <w:tcW w:w="1276" w:type="dxa"/>
            <w:tcBorders>
              <w:bottom w:val="double" w:sz="4" w:space="0" w:color="auto"/>
            </w:tcBorders>
          </w:tcPr>
          <w:p w14:paraId="40D1C11E" w14:textId="77777777" w:rsidR="00914B82" w:rsidRDefault="00914B82" w:rsidP="00914B82">
            <w:pPr>
              <w:tabs>
                <w:tab w:val="decimal" w:pos="1247"/>
              </w:tabs>
              <w:rPr>
                <w:sz w:val="20"/>
                <w:szCs w:val="20"/>
              </w:rPr>
            </w:pPr>
          </w:p>
          <w:p w14:paraId="5E9EAEC2" w14:textId="49EA634E" w:rsidR="00914B82" w:rsidRPr="00D73880" w:rsidRDefault="00914B82" w:rsidP="00914B82">
            <w:pPr>
              <w:tabs>
                <w:tab w:val="decimal" w:pos="1247"/>
              </w:tabs>
              <w:rPr>
                <w:sz w:val="20"/>
                <w:szCs w:val="20"/>
              </w:rPr>
            </w:pPr>
            <w:r>
              <w:rPr>
                <w:sz w:val="20"/>
                <w:szCs w:val="20"/>
              </w:rPr>
              <w:t>55,758,181</w:t>
            </w:r>
          </w:p>
        </w:tc>
        <w:tc>
          <w:tcPr>
            <w:tcW w:w="1276" w:type="dxa"/>
            <w:tcBorders>
              <w:bottom w:val="double" w:sz="4" w:space="0" w:color="auto"/>
            </w:tcBorders>
          </w:tcPr>
          <w:p w14:paraId="08A321CB" w14:textId="77777777" w:rsidR="00914B82" w:rsidRDefault="00914B82" w:rsidP="00914B82">
            <w:pPr>
              <w:tabs>
                <w:tab w:val="decimal" w:pos="1247"/>
              </w:tabs>
              <w:rPr>
                <w:sz w:val="20"/>
                <w:szCs w:val="20"/>
              </w:rPr>
            </w:pPr>
          </w:p>
          <w:p w14:paraId="75543000" w14:textId="3E589A89" w:rsidR="00914B82" w:rsidRPr="004A4401" w:rsidRDefault="00914B82" w:rsidP="00914B82">
            <w:pPr>
              <w:tabs>
                <w:tab w:val="decimal" w:pos="1247"/>
              </w:tabs>
              <w:rPr>
                <w:sz w:val="20"/>
                <w:szCs w:val="20"/>
              </w:rPr>
            </w:pPr>
            <w:r>
              <w:rPr>
                <w:sz w:val="20"/>
                <w:szCs w:val="20"/>
              </w:rPr>
              <w:t>75,734,051</w:t>
            </w:r>
          </w:p>
        </w:tc>
        <w:tc>
          <w:tcPr>
            <w:tcW w:w="1276" w:type="dxa"/>
            <w:tcBorders>
              <w:bottom w:val="double" w:sz="4" w:space="0" w:color="auto"/>
            </w:tcBorders>
          </w:tcPr>
          <w:p w14:paraId="3B99C319" w14:textId="77777777" w:rsidR="00914B82" w:rsidRDefault="00914B82" w:rsidP="00914B82">
            <w:pPr>
              <w:tabs>
                <w:tab w:val="decimal" w:pos="1247"/>
              </w:tabs>
              <w:rPr>
                <w:sz w:val="20"/>
                <w:szCs w:val="20"/>
              </w:rPr>
            </w:pPr>
          </w:p>
          <w:p w14:paraId="71D8FDE9" w14:textId="14DE79BD" w:rsidR="00914B82" w:rsidRPr="002D2CC2" w:rsidRDefault="00914B82" w:rsidP="00914B82">
            <w:pPr>
              <w:tabs>
                <w:tab w:val="decimal" w:pos="1247"/>
              </w:tabs>
              <w:rPr>
                <w:sz w:val="20"/>
                <w:szCs w:val="20"/>
              </w:rPr>
            </w:pPr>
            <w:r>
              <w:rPr>
                <w:sz w:val="20"/>
                <w:szCs w:val="20"/>
              </w:rPr>
              <w:t>55,754,472</w:t>
            </w:r>
          </w:p>
        </w:tc>
      </w:tr>
    </w:tbl>
    <w:p w14:paraId="7881E234" w14:textId="182C21FC" w:rsidR="002F4DD7" w:rsidRDefault="002F4DD7" w:rsidP="00730AD9">
      <w:pPr>
        <w:jc w:val="center"/>
        <w:rPr>
          <w:sz w:val="20"/>
          <w:szCs w:val="20"/>
        </w:rPr>
        <w:sectPr w:rsidR="002F4DD7" w:rsidSect="002F4DD7">
          <w:headerReference w:type="default" r:id="rId14"/>
          <w:footerReference w:type="default" r:id="rId15"/>
          <w:pgSz w:w="12240" w:h="15840"/>
          <w:pgMar w:top="1440" w:right="1440" w:bottom="1440" w:left="1440" w:header="708" w:footer="708" w:gutter="0"/>
          <w:cols w:space="708"/>
          <w:docGrid w:linePitch="360"/>
        </w:sectPr>
      </w:pPr>
      <w:r>
        <w:rPr>
          <w:sz w:val="20"/>
          <w:szCs w:val="20"/>
        </w:rPr>
        <w:t xml:space="preserve">The accompanying notes are an integral part of these </w:t>
      </w:r>
      <w:r w:rsidR="008D23CC">
        <w:rPr>
          <w:sz w:val="20"/>
          <w:szCs w:val="20"/>
        </w:rPr>
        <w:t xml:space="preserve">condensed </w:t>
      </w:r>
      <w:r>
        <w:rPr>
          <w:sz w:val="20"/>
          <w:szCs w:val="20"/>
        </w:rPr>
        <w:t xml:space="preserve">consolidated </w:t>
      </w:r>
      <w:r w:rsidR="008D23CC">
        <w:rPr>
          <w:sz w:val="20"/>
          <w:szCs w:val="20"/>
        </w:rPr>
        <w:t xml:space="preserve">interim </w:t>
      </w:r>
      <w:r w:rsidR="00893781">
        <w:rPr>
          <w:sz w:val="20"/>
          <w:szCs w:val="20"/>
        </w:rPr>
        <w:t>f</w:t>
      </w:r>
      <w:r>
        <w:rPr>
          <w:sz w:val="20"/>
          <w:szCs w:val="20"/>
        </w:rPr>
        <w:t>inancial statements.</w:t>
      </w:r>
    </w:p>
    <w:tbl>
      <w:tblPr>
        <w:tblW w:w="5098" w:type="pct"/>
        <w:tblLayout w:type="fixed"/>
        <w:tblLook w:val="04A0" w:firstRow="1" w:lastRow="0" w:firstColumn="1" w:lastColumn="0" w:noHBand="0" w:noVBand="1"/>
      </w:tblPr>
      <w:tblGrid>
        <w:gridCol w:w="4254"/>
        <w:gridCol w:w="1554"/>
        <w:gridCol w:w="1135"/>
        <w:gridCol w:w="1172"/>
        <w:gridCol w:w="1172"/>
        <w:gridCol w:w="1388"/>
        <w:gridCol w:w="1372"/>
        <w:gridCol w:w="1167"/>
      </w:tblGrid>
      <w:tr w:rsidR="00A6354D" w:rsidRPr="00760411" w14:paraId="7E465D43" w14:textId="77777777" w:rsidTr="00760411">
        <w:trPr>
          <w:trHeight w:val="300"/>
        </w:trPr>
        <w:tc>
          <w:tcPr>
            <w:tcW w:w="4253" w:type="dxa"/>
            <w:tcBorders>
              <w:top w:val="double" w:sz="6" w:space="0" w:color="auto"/>
              <w:left w:val="nil"/>
              <w:right w:val="nil"/>
            </w:tcBorders>
            <w:shd w:val="clear" w:color="auto" w:fill="auto"/>
            <w:vAlign w:val="center"/>
            <w:hideMark/>
          </w:tcPr>
          <w:p w14:paraId="1532F475" w14:textId="77777777" w:rsidR="00A6354D" w:rsidRPr="00760411" w:rsidRDefault="00A6354D" w:rsidP="00A6354D">
            <w:pPr>
              <w:rPr>
                <w:color w:val="000000"/>
                <w:sz w:val="20"/>
                <w:szCs w:val="20"/>
              </w:rPr>
            </w:pPr>
            <w:r w:rsidRPr="00760411">
              <w:rPr>
                <w:color w:val="000000"/>
                <w:sz w:val="20"/>
                <w:szCs w:val="20"/>
              </w:rPr>
              <w:lastRenderedPageBreak/>
              <w:t> </w:t>
            </w:r>
          </w:p>
        </w:tc>
        <w:tc>
          <w:tcPr>
            <w:tcW w:w="2689" w:type="dxa"/>
            <w:gridSpan w:val="2"/>
            <w:tcBorders>
              <w:top w:val="double" w:sz="6" w:space="0" w:color="auto"/>
              <w:left w:val="nil"/>
              <w:right w:val="nil"/>
            </w:tcBorders>
            <w:shd w:val="clear" w:color="auto" w:fill="auto"/>
            <w:vAlign w:val="center"/>
            <w:hideMark/>
          </w:tcPr>
          <w:p w14:paraId="3FBC8160" w14:textId="5F8FEAE6" w:rsidR="00A6354D" w:rsidRPr="00760411" w:rsidRDefault="00A6354D" w:rsidP="00A6354D">
            <w:pPr>
              <w:jc w:val="center"/>
              <w:rPr>
                <w:color w:val="000000"/>
                <w:sz w:val="20"/>
                <w:szCs w:val="20"/>
              </w:rPr>
            </w:pPr>
            <w:r w:rsidRPr="00760411">
              <w:rPr>
                <w:b/>
                <w:bCs/>
                <w:color w:val="000000"/>
                <w:sz w:val="20"/>
                <w:szCs w:val="20"/>
              </w:rPr>
              <w:t>Share Capital</w:t>
            </w:r>
          </w:p>
        </w:tc>
        <w:tc>
          <w:tcPr>
            <w:tcW w:w="1172" w:type="dxa"/>
            <w:tcBorders>
              <w:top w:val="double" w:sz="6" w:space="0" w:color="auto"/>
              <w:left w:val="nil"/>
              <w:right w:val="nil"/>
            </w:tcBorders>
          </w:tcPr>
          <w:p w14:paraId="639A7452" w14:textId="77777777" w:rsidR="00A6354D" w:rsidRPr="00760411" w:rsidRDefault="00A6354D" w:rsidP="00A6354D">
            <w:pPr>
              <w:rPr>
                <w:color w:val="000000"/>
                <w:sz w:val="20"/>
                <w:szCs w:val="20"/>
              </w:rPr>
            </w:pPr>
          </w:p>
        </w:tc>
        <w:tc>
          <w:tcPr>
            <w:tcW w:w="1172" w:type="dxa"/>
            <w:tcBorders>
              <w:top w:val="double" w:sz="6" w:space="0" w:color="auto"/>
              <w:left w:val="nil"/>
              <w:right w:val="nil"/>
            </w:tcBorders>
            <w:shd w:val="clear" w:color="auto" w:fill="auto"/>
            <w:vAlign w:val="center"/>
            <w:hideMark/>
          </w:tcPr>
          <w:p w14:paraId="73811B2B" w14:textId="61751459" w:rsidR="00A6354D" w:rsidRPr="00760411" w:rsidRDefault="00A6354D" w:rsidP="00A6354D">
            <w:pPr>
              <w:rPr>
                <w:color w:val="000000"/>
                <w:sz w:val="20"/>
                <w:szCs w:val="20"/>
              </w:rPr>
            </w:pPr>
            <w:r w:rsidRPr="00760411">
              <w:rPr>
                <w:color w:val="000000"/>
                <w:sz w:val="20"/>
                <w:szCs w:val="20"/>
              </w:rPr>
              <w:t> </w:t>
            </w:r>
          </w:p>
        </w:tc>
        <w:tc>
          <w:tcPr>
            <w:tcW w:w="1388" w:type="dxa"/>
            <w:tcBorders>
              <w:top w:val="double" w:sz="6" w:space="0" w:color="auto"/>
              <w:left w:val="nil"/>
              <w:right w:val="nil"/>
            </w:tcBorders>
            <w:shd w:val="clear" w:color="auto" w:fill="auto"/>
            <w:vAlign w:val="center"/>
            <w:hideMark/>
          </w:tcPr>
          <w:p w14:paraId="3AFC3356" w14:textId="77777777" w:rsidR="00A6354D" w:rsidRPr="00760411" w:rsidRDefault="00A6354D" w:rsidP="00A6354D">
            <w:pPr>
              <w:rPr>
                <w:color w:val="000000"/>
                <w:sz w:val="20"/>
                <w:szCs w:val="20"/>
              </w:rPr>
            </w:pPr>
            <w:r w:rsidRPr="00760411">
              <w:rPr>
                <w:color w:val="000000"/>
                <w:sz w:val="20"/>
                <w:szCs w:val="20"/>
              </w:rPr>
              <w:t> </w:t>
            </w:r>
          </w:p>
        </w:tc>
        <w:tc>
          <w:tcPr>
            <w:tcW w:w="1372" w:type="dxa"/>
            <w:tcBorders>
              <w:top w:val="double" w:sz="6" w:space="0" w:color="auto"/>
              <w:left w:val="nil"/>
              <w:right w:val="nil"/>
            </w:tcBorders>
            <w:shd w:val="clear" w:color="auto" w:fill="auto"/>
            <w:vAlign w:val="center"/>
            <w:hideMark/>
          </w:tcPr>
          <w:p w14:paraId="784A47AD" w14:textId="77777777" w:rsidR="00A6354D" w:rsidRPr="00760411" w:rsidRDefault="00A6354D" w:rsidP="00A6354D">
            <w:pPr>
              <w:rPr>
                <w:color w:val="000000"/>
                <w:sz w:val="20"/>
                <w:szCs w:val="20"/>
              </w:rPr>
            </w:pPr>
            <w:r w:rsidRPr="00760411">
              <w:rPr>
                <w:color w:val="000000"/>
                <w:sz w:val="20"/>
                <w:szCs w:val="20"/>
              </w:rPr>
              <w:t> </w:t>
            </w:r>
          </w:p>
        </w:tc>
        <w:tc>
          <w:tcPr>
            <w:tcW w:w="1167" w:type="dxa"/>
            <w:tcBorders>
              <w:top w:val="double" w:sz="6" w:space="0" w:color="auto"/>
              <w:left w:val="nil"/>
              <w:right w:val="nil"/>
            </w:tcBorders>
            <w:shd w:val="clear" w:color="auto" w:fill="auto"/>
            <w:vAlign w:val="center"/>
            <w:hideMark/>
          </w:tcPr>
          <w:p w14:paraId="54ACA518" w14:textId="77777777" w:rsidR="00A6354D" w:rsidRPr="00760411" w:rsidRDefault="00A6354D" w:rsidP="00A6354D">
            <w:pPr>
              <w:rPr>
                <w:color w:val="000000"/>
                <w:sz w:val="20"/>
                <w:szCs w:val="20"/>
              </w:rPr>
            </w:pPr>
            <w:r w:rsidRPr="00760411">
              <w:rPr>
                <w:color w:val="000000"/>
                <w:sz w:val="20"/>
                <w:szCs w:val="20"/>
              </w:rPr>
              <w:t> </w:t>
            </w:r>
          </w:p>
        </w:tc>
      </w:tr>
      <w:tr w:rsidR="00A6354D" w:rsidRPr="00760411" w14:paraId="70BD73C6" w14:textId="77777777" w:rsidTr="00760411">
        <w:trPr>
          <w:trHeight w:val="634"/>
        </w:trPr>
        <w:tc>
          <w:tcPr>
            <w:tcW w:w="4253" w:type="dxa"/>
            <w:tcBorders>
              <w:top w:val="nil"/>
              <w:left w:val="nil"/>
              <w:right w:val="nil"/>
            </w:tcBorders>
            <w:shd w:val="clear" w:color="auto" w:fill="auto"/>
            <w:vAlign w:val="center"/>
            <w:hideMark/>
          </w:tcPr>
          <w:p w14:paraId="1EA5622E" w14:textId="77777777" w:rsidR="00A6354D" w:rsidRPr="00760411" w:rsidRDefault="00A6354D" w:rsidP="00A6354D">
            <w:pPr>
              <w:rPr>
                <w:color w:val="000000"/>
                <w:sz w:val="20"/>
                <w:szCs w:val="20"/>
              </w:rPr>
            </w:pPr>
            <w:r w:rsidRPr="00760411">
              <w:rPr>
                <w:color w:val="000000"/>
                <w:sz w:val="20"/>
                <w:szCs w:val="20"/>
              </w:rPr>
              <w:t> </w:t>
            </w:r>
          </w:p>
        </w:tc>
        <w:tc>
          <w:tcPr>
            <w:tcW w:w="1554" w:type="dxa"/>
            <w:tcBorders>
              <w:top w:val="nil"/>
              <w:left w:val="nil"/>
              <w:right w:val="nil"/>
            </w:tcBorders>
            <w:shd w:val="clear" w:color="auto" w:fill="auto"/>
            <w:vAlign w:val="bottom"/>
            <w:hideMark/>
          </w:tcPr>
          <w:p w14:paraId="49B43196" w14:textId="77777777" w:rsidR="00A6354D" w:rsidRPr="00760411" w:rsidRDefault="00A6354D" w:rsidP="00A6354D">
            <w:pPr>
              <w:jc w:val="right"/>
              <w:rPr>
                <w:b/>
                <w:bCs/>
                <w:color w:val="000000"/>
                <w:sz w:val="20"/>
                <w:szCs w:val="20"/>
              </w:rPr>
            </w:pPr>
            <w:r w:rsidRPr="00760411">
              <w:rPr>
                <w:b/>
                <w:bCs/>
                <w:color w:val="000000"/>
                <w:sz w:val="20"/>
                <w:szCs w:val="20"/>
              </w:rPr>
              <w:t>Number of shares</w:t>
            </w:r>
          </w:p>
        </w:tc>
        <w:tc>
          <w:tcPr>
            <w:tcW w:w="1135" w:type="dxa"/>
            <w:tcBorders>
              <w:top w:val="nil"/>
              <w:left w:val="nil"/>
              <w:right w:val="nil"/>
            </w:tcBorders>
            <w:shd w:val="clear" w:color="auto" w:fill="auto"/>
            <w:vAlign w:val="bottom"/>
            <w:hideMark/>
          </w:tcPr>
          <w:p w14:paraId="20DF2E25" w14:textId="77777777" w:rsidR="00A6354D" w:rsidRPr="00760411" w:rsidRDefault="00A6354D" w:rsidP="00A6354D">
            <w:pPr>
              <w:jc w:val="right"/>
              <w:rPr>
                <w:b/>
                <w:bCs/>
                <w:color w:val="000000"/>
                <w:sz w:val="20"/>
                <w:szCs w:val="20"/>
              </w:rPr>
            </w:pPr>
            <w:r w:rsidRPr="00760411">
              <w:rPr>
                <w:b/>
                <w:bCs/>
                <w:color w:val="000000"/>
                <w:sz w:val="20"/>
                <w:szCs w:val="20"/>
              </w:rPr>
              <w:t>Amount</w:t>
            </w:r>
          </w:p>
        </w:tc>
        <w:tc>
          <w:tcPr>
            <w:tcW w:w="1172" w:type="dxa"/>
            <w:tcBorders>
              <w:top w:val="nil"/>
              <w:left w:val="nil"/>
              <w:right w:val="nil"/>
            </w:tcBorders>
            <w:vAlign w:val="bottom"/>
          </w:tcPr>
          <w:p w14:paraId="673101BC" w14:textId="00FCF5F1" w:rsidR="00A6354D" w:rsidRPr="00760411" w:rsidRDefault="00A6354D" w:rsidP="00A6354D">
            <w:pPr>
              <w:jc w:val="right"/>
              <w:rPr>
                <w:b/>
                <w:bCs/>
                <w:color w:val="000000"/>
                <w:sz w:val="20"/>
                <w:szCs w:val="20"/>
              </w:rPr>
            </w:pPr>
            <w:r w:rsidRPr="00760411">
              <w:rPr>
                <w:b/>
                <w:bCs/>
                <w:color w:val="000000"/>
                <w:sz w:val="20"/>
                <w:szCs w:val="20"/>
              </w:rPr>
              <w:t>Shares issuable</w:t>
            </w:r>
          </w:p>
        </w:tc>
        <w:tc>
          <w:tcPr>
            <w:tcW w:w="1172" w:type="dxa"/>
            <w:tcBorders>
              <w:top w:val="nil"/>
              <w:left w:val="nil"/>
              <w:right w:val="nil"/>
            </w:tcBorders>
            <w:shd w:val="clear" w:color="auto" w:fill="auto"/>
            <w:vAlign w:val="bottom"/>
            <w:hideMark/>
          </w:tcPr>
          <w:p w14:paraId="111534EB" w14:textId="4395DC4B" w:rsidR="00A6354D" w:rsidRPr="00760411" w:rsidRDefault="00A6354D" w:rsidP="00A6354D">
            <w:pPr>
              <w:jc w:val="right"/>
              <w:rPr>
                <w:b/>
                <w:bCs/>
                <w:color w:val="000000"/>
                <w:sz w:val="20"/>
                <w:szCs w:val="20"/>
              </w:rPr>
            </w:pPr>
            <w:r w:rsidRPr="00760411">
              <w:rPr>
                <w:b/>
                <w:bCs/>
                <w:color w:val="000000"/>
                <w:sz w:val="20"/>
                <w:szCs w:val="20"/>
              </w:rPr>
              <w:t>Stock option and warrant reserves</w:t>
            </w:r>
          </w:p>
        </w:tc>
        <w:tc>
          <w:tcPr>
            <w:tcW w:w="1388" w:type="dxa"/>
            <w:tcBorders>
              <w:top w:val="nil"/>
              <w:left w:val="nil"/>
              <w:right w:val="nil"/>
            </w:tcBorders>
            <w:shd w:val="clear" w:color="auto" w:fill="auto"/>
            <w:vAlign w:val="bottom"/>
            <w:hideMark/>
          </w:tcPr>
          <w:p w14:paraId="759BDCEE" w14:textId="77777777" w:rsidR="00A6354D" w:rsidRPr="00760411" w:rsidRDefault="00A6354D" w:rsidP="00A6354D">
            <w:pPr>
              <w:jc w:val="right"/>
              <w:rPr>
                <w:b/>
                <w:bCs/>
                <w:color w:val="000000"/>
                <w:sz w:val="20"/>
                <w:szCs w:val="20"/>
              </w:rPr>
            </w:pPr>
            <w:r w:rsidRPr="00760411">
              <w:rPr>
                <w:b/>
                <w:bCs/>
                <w:color w:val="000000"/>
                <w:sz w:val="20"/>
                <w:szCs w:val="20"/>
              </w:rPr>
              <w:t>Equity component of convertible debentures</w:t>
            </w:r>
          </w:p>
        </w:tc>
        <w:tc>
          <w:tcPr>
            <w:tcW w:w="1372" w:type="dxa"/>
            <w:tcBorders>
              <w:top w:val="nil"/>
              <w:left w:val="nil"/>
              <w:right w:val="nil"/>
            </w:tcBorders>
            <w:shd w:val="clear" w:color="auto" w:fill="auto"/>
            <w:vAlign w:val="bottom"/>
            <w:hideMark/>
          </w:tcPr>
          <w:p w14:paraId="77779430" w14:textId="77777777" w:rsidR="00A6354D" w:rsidRPr="00760411" w:rsidRDefault="00A6354D" w:rsidP="00A6354D">
            <w:pPr>
              <w:jc w:val="right"/>
              <w:rPr>
                <w:b/>
                <w:bCs/>
                <w:color w:val="000000"/>
                <w:sz w:val="20"/>
                <w:szCs w:val="20"/>
              </w:rPr>
            </w:pPr>
            <w:r w:rsidRPr="00760411">
              <w:rPr>
                <w:b/>
                <w:bCs/>
                <w:color w:val="000000"/>
                <w:sz w:val="20"/>
                <w:szCs w:val="20"/>
              </w:rPr>
              <w:t>Deficit</w:t>
            </w:r>
          </w:p>
        </w:tc>
        <w:tc>
          <w:tcPr>
            <w:tcW w:w="1167" w:type="dxa"/>
            <w:tcBorders>
              <w:top w:val="nil"/>
              <w:left w:val="nil"/>
              <w:right w:val="nil"/>
            </w:tcBorders>
            <w:shd w:val="clear" w:color="auto" w:fill="auto"/>
            <w:vAlign w:val="bottom"/>
            <w:hideMark/>
          </w:tcPr>
          <w:p w14:paraId="417CEDD9" w14:textId="77777777" w:rsidR="00A6354D" w:rsidRPr="00760411" w:rsidRDefault="00A6354D" w:rsidP="00A6354D">
            <w:pPr>
              <w:jc w:val="right"/>
              <w:rPr>
                <w:b/>
                <w:bCs/>
                <w:color w:val="000000"/>
                <w:sz w:val="20"/>
                <w:szCs w:val="20"/>
              </w:rPr>
            </w:pPr>
            <w:r w:rsidRPr="00760411">
              <w:rPr>
                <w:b/>
                <w:bCs/>
                <w:color w:val="000000"/>
                <w:sz w:val="20"/>
                <w:szCs w:val="20"/>
              </w:rPr>
              <w:t>Total</w:t>
            </w:r>
          </w:p>
        </w:tc>
      </w:tr>
      <w:tr w:rsidR="00A6354D" w:rsidRPr="00760411" w14:paraId="36320658" w14:textId="77777777" w:rsidTr="00760411">
        <w:trPr>
          <w:trHeight w:val="252"/>
        </w:trPr>
        <w:tc>
          <w:tcPr>
            <w:tcW w:w="4253" w:type="dxa"/>
            <w:tcBorders>
              <w:top w:val="single" w:sz="4" w:space="0" w:color="auto"/>
              <w:left w:val="nil"/>
              <w:bottom w:val="nil"/>
              <w:right w:val="nil"/>
            </w:tcBorders>
            <w:shd w:val="clear" w:color="auto" w:fill="auto"/>
            <w:vAlign w:val="bottom"/>
            <w:hideMark/>
          </w:tcPr>
          <w:p w14:paraId="2586DBF8" w14:textId="77777777" w:rsidR="00A6354D" w:rsidRPr="00760411" w:rsidRDefault="00A6354D" w:rsidP="00A6354D">
            <w:pPr>
              <w:rPr>
                <w:b/>
                <w:bCs/>
                <w:color w:val="000000"/>
                <w:sz w:val="20"/>
                <w:szCs w:val="20"/>
              </w:rPr>
            </w:pPr>
            <w:r w:rsidRPr="00760411">
              <w:rPr>
                <w:b/>
                <w:bCs/>
                <w:color w:val="000000"/>
                <w:sz w:val="20"/>
                <w:szCs w:val="20"/>
              </w:rPr>
              <w:t>Balance, December 31, 2019</w:t>
            </w:r>
          </w:p>
        </w:tc>
        <w:tc>
          <w:tcPr>
            <w:tcW w:w="1554" w:type="dxa"/>
            <w:tcBorders>
              <w:top w:val="single" w:sz="4" w:space="0" w:color="auto"/>
              <w:left w:val="nil"/>
              <w:bottom w:val="nil"/>
              <w:right w:val="nil"/>
            </w:tcBorders>
            <w:shd w:val="clear" w:color="auto" w:fill="auto"/>
            <w:vAlign w:val="bottom"/>
            <w:hideMark/>
          </w:tcPr>
          <w:p w14:paraId="41B19182" w14:textId="77777777" w:rsidR="00A6354D" w:rsidRPr="00760411" w:rsidRDefault="00A6354D" w:rsidP="00A6354D">
            <w:pPr>
              <w:jc w:val="right"/>
              <w:rPr>
                <w:color w:val="000000"/>
                <w:sz w:val="20"/>
                <w:szCs w:val="20"/>
              </w:rPr>
            </w:pPr>
            <w:r w:rsidRPr="00760411">
              <w:rPr>
                <w:color w:val="000000"/>
                <w:sz w:val="20"/>
                <w:szCs w:val="20"/>
              </w:rPr>
              <w:t xml:space="preserve">55,750,763 </w:t>
            </w:r>
          </w:p>
        </w:tc>
        <w:tc>
          <w:tcPr>
            <w:tcW w:w="1135" w:type="dxa"/>
            <w:tcBorders>
              <w:top w:val="single" w:sz="4" w:space="0" w:color="auto"/>
              <w:left w:val="nil"/>
              <w:bottom w:val="nil"/>
              <w:right w:val="nil"/>
            </w:tcBorders>
            <w:shd w:val="clear" w:color="auto" w:fill="auto"/>
            <w:vAlign w:val="bottom"/>
            <w:hideMark/>
          </w:tcPr>
          <w:p w14:paraId="54280EF4" w14:textId="77777777" w:rsidR="00A6354D" w:rsidRPr="00760411" w:rsidRDefault="00A6354D" w:rsidP="00A6354D">
            <w:pPr>
              <w:jc w:val="right"/>
              <w:rPr>
                <w:color w:val="000000"/>
                <w:sz w:val="20"/>
                <w:szCs w:val="20"/>
              </w:rPr>
            </w:pPr>
            <w:r w:rsidRPr="00760411">
              <w:rPr>
                <w:color w:val="000000"/>
                <w:sz w:val="20"/>
                <w:szCs w:val="20"/>
              </w:rPr>
              <w:t xml:space="preserve">6,153,526 </w:t>
            </w:r>
          </w:p>
        </w:tc>
        <w:tc>
          <w:tcPr>
            <w:tcW w:w="1172" w:type="dxa"/>
            <w:tcBorders>
              <w:top w:val="single" w:sz="4" w:space="0" w:color="auto"/>
              <w:left w:val="nil"/>
              <w:bottom w:val="nil"/>
              <w:right w:val="nil"/>
            </w:tcBorders>
            <w:vAlign w:val="bottom"/>
          </w:tcPr>
          <w:p w14:paraId="4B8571A8" w14:textId="0373CA76"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single" w:sz="4" w:space="0" w:color="auto"/>
              <w:left w:val="nil"/>
              <w:bottom w:val="nil"/>
              <w:right w:val="nil"/>
            </w:tcBorders>
            <w:shd w:val="clear" w:color="auto" w:fill="auto"/>
            <w:vAlign w:val="bottom"/>
            <w:hideMark/>
          </w:tcPr>
          <w:p w14:paraId="69C2DE6A" w14:textId="04805D3C" w:rsidR="00A6354D" w:rsidRPr="00760411" w:rsidRDefault="00A6354D" w:rsidP="00A6354D">
            <w:pPr>
              <w:jc w:val="right"/>
              <w:rPr>
                <w:color w:val="000000"/>
                <w:sz w:val="20"/>
                <w:szCs w:val="20"/>
              </w:rPr>
            </w:pPr>
            <w:r w:rsidRPr="00760411">
              <w:rPr>
                <w:color w:val="000000"/>
                <w:sz w:val="20"/>
                <w:szCs w:val="20"/>
              </w:rPr>
              <w:t xml:space="preserve">373,754 </w:t>
            </w:r>
          </w:p>
        </w:tc>
        <w:tc>
          <w:tcPr>
            <w:tcW w:w="1388" w:type="dxa"/>
            <w:tcBorders>
              <w:top w:val="single" w:sz="4" w:space="0" w:color="auto"/>
              <w:left w:val="nil"/>
              <w:bottom w:val="nil"/>
              <w:right w:val="nil"/>
            </w:tcBorders>
            <w:shd w:val="clear" w:color="auto" w:fill="auto"/>
            <w:vAlign w:val="bottom"/>
            <w:hideMark/>
          </w:tcPr>
          <w:p w14:paraId="73DB70CE"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single" w:sz="4" w:space="0" w:color="auto"/>
              <w:left w:val="nil"/>
              <w:bottom w:val="nil"/>
              <w:right w:val="nil"/>
            </w:tcBorders>
            <w:shd w:val="clear" w:color="auto" w:fill="auto"/>
            <w:vAlign w:val="bottom"/>
            <w:hideMark/>
          </w:tcPr>
          <w:p w14:paraId="4483890B" w14:textId="77777777" w:rsidR="00A6354D" w:rsidRPr="00760411" w:rsidRDefault="00A6354D" w:rsidP="00A6354D">
            <w:pPr>
              <w:jc w:val="right"/>
              <w:rPr>
                <w:color w:val="000000"/>
                <w:sz w:val="20"/>
                <w:szCs w:val="20"/>
              </w:rPr>
            </w:pPr>
            <w:r w:rsidRPr="00760411">
              <w:rPr>
                <w:color w:val="000000"/>
                <w:sz w:val="20"/>
                <w:szCs w:val="20"/>
              </w:rPr>
              <w:t>(7,687,234)</w:t>
            </w:r>
          </w:p>
        </w:tc>
        <w:tc>
          <w:tcPr>
            <w:tcW w:w="1167" w:type="dxa"/>
            <w:tcBorders>
              <w:top w:val="single" w:sz="4" w:space="0" w:color="auto"/>
              <w:left w:val="nil"/>
              <w:bottom w:val="nil"/>
              <w:right w:val="nil"/>
            </w:tcBorders>
            <w:shd w:val="clear" w:color="auto" w:fill="auto"/>
            <w:vAlign w:val="bottom"/>
            <w:hideMark/>
          </w:tcPr>
          <w:p w14:paraId="052D4EBB" w14:textId="77777777" w:rsidR="00A6354D" w:rsidRPr="00760411" w:rsidRDefault="00A6354D" w:rsidP="00A6354D">
            <w:pPr>
              <w:jc w:val="right"/>
              <w:rPr>
                <w:color w:val="000000"/>
                <w:sz w:val="20"/>
                <w:szCs w:val="20"/>
              </w:rPr>
            </w:pPr>
            <w:r w:rsidRPr="00760411">
              <w:rPr>
                <w:color w:val="000000"/>
                <w:sz w:val="20"/>
                <w:szCs w:val="20"/>
              </w:rPr>
              <w:t>(1,159,954)</w:t>
            </w:r>
          </w:p>
        </w:tc>
      </w:tr>
      <w:tr w:rsidR="00A6354D" w:rsidRPr="00760411" w14:paraId="4F33C9A9" w14:textId="77777777" w:rsidTr="00760411">
        <w:trPr>
          <w:trHeight w:val="252"/>
        </w:trPr>
        <w:tc>
          <w:tcPr>
            <w:tcW w:w="4253" w:type="dxa"/>
            <w:tcBorders>
              <w:top w:val="nil"/>
              <w:left w:val="nil"/>
              <w:bottom w:val="nil"/>
              <w:right w:val="nil"/>
            </w:tcBorders>
            <w:shd w:val="clear" w:color="auto" w:fill="auto"/>
            <w:vAlign w:val="bottom"/>
            <w:hideMark/>
          </w:tcPr>
          <w:p w14:paraId="49DF3629" w14:textId="532D8200" w:rsidR="00A6354D" w:rsidRPr="00760411" w:rsidRDefault="00A6354D" w:rsidP="00A6354D">
            <w:pPr>
              <w:rPr>
                <w:color w:val="000000"/>
                <w:sz w:val="20"/>
                <w:szCs w:val="20"/>
              </w:rPr>
            </w:pPr>
            <w:r w:rsidRPr="00760411">
              <w:rPr>
                <w:sz w:val="20"/>
                <w:szCs w:val="20"/>
              </w:rPr>
              <w:t>Shares issued under RSU plan</w:t>
            </w:r>
          </w:p>
        </w:tc>
        <w:tc>
          <w:tcPr>
            <w:tcW w:w="1554" w:type="dxa"/>
            <w:tcBorders>
              <w:top w:val="nil"/>
              <w:left w:val="nil"/>
              <w:bottom w:val="nil"/>
              <w:right w:val="nil"/>
            </w:tcBorders>
            <w:shd w:val="clear" w:color="auto" w:fill="auto"/>
            <w:vAlign w:val="bottom"/>
            <w:hideMark/>
          </w:tcPr>
          <w:p w14:paraId="132D9924" w14:textId="4F45F92F" w:rsidR="00A6354D" w:rsidRPr="00760411" w:rsidRDefault="00A6354D" w:rsidP="00A6354D">
            <w:pPr>
              <w:jc w:val="right"/>
              <w:rPr>
                <w:color w:val="000000"/>
                <w:sz w:val="20"/>
                <w:szCs w:val="20"/>
              </w:rPr>
            </w:pPr>
            <w:r w:rsidRPr="00760411">
              <w:rPr>
                <w:color w:val="000000"/>
                <w:sz w:val="20"/>
                <w:szCs w:val="20"/>
              </w:rPr>
              <w:t>25,000</w:t>
            </w:r>
          </w:p>
        </w:tc>
        <w:tc>
          <w:tcPr>
            <w:tcW w:w="1135" w:type="dxa"/>
            <w:tcBorders>
              <w:top w:val="nil"/>
              <w:left w:val="nil"/>
              <w:bottom w:val="nil"/>
              <w:right w:val="nil"/>
            </w:tcBorders>
            <w:shd w:val="clear" w:color="auto" w:fill="auto"/>
            <w:vAlign w:val="bottom"/>
            <w:hideMark/>
          </w:tcPr>
          <w:p w14:paraId="5758B02D" w14:textId="4C512584" w:rsidR="00A6354D" w:rsidRPr="00760411" w:rsidRDefault="00A6354D" w:rsidP="00A6354D">
            <w:pPr>
              <w:jc w:val="right"/>
              <w:rPr>
                <w:color w:val="000000"/>
                <w:sz w:val="20"/>
                <w:szCs w:val="20"/>
              </w:rPr>
            </w:pPr>
            <w:r w:rsidRPr="00760411">
              <w:rPr>
                <w:color w:val="000000"/>
                <w:sz w:val="20"/>
                <w:szCs w:val="20"/>
              </w:rPr>
              <w:t xml:space="preserve">4,125 </w:t>
            </w:r>
          </w:p>
        </w:tc>
        <w:tc>
          <w:tcPr>
            <w:tcW w:w="1172" w:type="dxa"/>
            <w:tcBorders>
              <w:top w:val="nil"/>
              <w:left w:val="nil"/>
              <w:bottom w:val="nil"/>
              <w:right w:val="nil"/>
            </w:tcBorders>
            <w:vAlign w:val="bottom"/>
          </w:tcPr>
          <w:p w14:paraId="1B053782" w14:textId="0C2AD548"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3929218A" w14:textId="41F62564" w:rsidR="00A6354D" w:rsidRPr="00760411" w:rsidRDefault="00A6354D" w:rsidP="00A6354D">
            <w:pPr>
              <w:jc w:val="right"/>
              <w:rPr>
                <w:color w:val="000000"/>
                <w:sz w:val="20"/>
                <w:szCs w:val="20"/>
              </w:rPr>
            </w:pPr>
            <w:r w:rsidRPr="00760411">
              <w:rPr>
                <w:color w:val="000000"/>
                <w:sz w:val="20"/>
                <w:szCs w:val="20"/>
              </w:rPr>
              <w:t xml:space="preserve">(4,125) </w:t>
            </w:r>
          </w:p>
        </w:tc>
        <w:tc>
          <w:tcPr>
            <w:tcW w:w="1388" w:type="dxa"/>
            <w:tcBorders>
              <w:top w:val="nil"/>
              <w:left w:val="nil"/>
              <w:bottom w:val="nil"/>
              <w:right w:val="nil"/>
            </w:tcBorders>
            <w:shd w:val="clear" w:color="auto" w:fill="auto"/>
            <w:vAlign w:val="bottom"/>
            <w:hideMark/>
          </w:tcPr>
          <w:p w14:paraId="79F88678" w14:textId="2AC443C2"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4E4B9F01"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461FDB7B" w14:textId="27E897BD" w:rsidR="00A6354D" w:rsidRPr="00760411" w:rsidRDefault="00A6354D" w:rsidP="00A6354D">
            <w:pPr>
              <w:jc w:val="right"/>
              <w:rPr>
                <w:color w:val="000000"/>
                <w:sz w:val="20"/>
                <w:szCs w:val="20"/>
              </w:rPr>
            </w:pPr>
            <w:r w:rsidRPr="00760411">
              <w:rPr>
                <w:color w:val="000000"/>
                <w:sz w:val="20"/>
                <w:szCs w:val="20"/>
              </w:rPr>
              <w:t xml:space="preserve">- </w:t>
            </w:r>
          </w:p>
        </w:tc>
      </w:tr>
      <w:tr w:rsidR="00A6354D" w:rsidRPr="00760411" w14:paraId="5001B4DE" w14:textId="77777777" w:rsidTr="00760411">
        <w:trPr>
          <w:trHeight w:val="252"/>
        </w:trPr>
        <w:tc>
          <w:tcPr>
            <w:tcW w:w="4253" w:type="dxa"/>
            <w:tcBorders>
              <w:top w:val="nil"/>
              <w:left w:val="nil"/>
              <w:bottom w:val="nil"/>
              <w:right w:val="nil"/>
            </w:tcBorders>
            <w:shd w:val="clear" w:color="auto" w:fill="auto"/>
            <w:vAlign w:val="bottom"/>
          </w:tcPr>
          <w:p w14:paraId="480D610E" w14:textId="13E10FCC" w:rsidR="00A6354D" w:rsidRPr="00760411" w:rsidRDefault="00A6354D" w:rsidP="00A6354D">
            <w:pPr>
              <w:rPr>
                <w:color w:val="000000"/>
                <w:sz w:val="20"/>
                <w:szCs w:val="20"/>
              </w:rPr>
            </w:pPr>
            <w:r w:rsidRPr="00760411">
              <w:rPr>
                <w:sz w:val="20"/>
                <w:szCs w:val="20"/>
              </w:rPr>
              <w:t>Equity component of convertible debentures</w:t>
            </w:r>
          </w:p>
        </w:tc>
        <w:tc>
          <w:tcPr>
            <w:tcW w:w="1554" w:type="dxa"/>
            <w:tcBorders>
              <w:top w:val="nil"/>
              <w:left w:val="nil"/>
              <w:bottom w:val="nil"/>
              <w:right w:val="nil"/>
            </w:tcBorders>
            <w:shd w:val="clear" w:color="auto" w:fill="auto"/>
            <w:vAlign w:val="bottom"/>
          </w:tcPr>
          <w:p w14:paraId="44513E9C" w14:textId="4A7554BE" w:rsidR="00A6354D" w:rsidRPr="00760411" w:rsidRDefault="00A6354D" w:rsidP="00A6354D">
            <w:pPr>
              <w:jc w:val="right"/>
              <w:rPr>
                <w:color w:val="000000"/>
                <w:sz w:val="20"/>
                <w:szCs w:val="20"/>
              </w:rPr>
            </w:pPr>
            <w:r w:rsidRPr="00760411">
              <w:rPr>
                <w:color w:val="000000"/>
                <w:sz w:val="20"/>
                <w:szCs w:val="20"/>
              </w:rPr>
              <w:t>-</w:t>
            </w:r>
          </w:p>
        </w:tc>
        <w:tc>
          <w:tcPr>
            <w:tcW w:w="1135" w:type="dxa"/>
            <w:tcBorders>
              <w:top w:val="nil"/>
              <w:left w:val="nil"/>
              <w:bottom w:val="nil"/>
              <w:right w:val="nil"/>
            </w:tcBorders>
            <w:shd w:val="clear" w:color="auto" w:fill="auto"/>
            <w:vAlign w:val="bottom"/>
          </w:tcPr>
          <w:p w14:paraId="7BDBCF6B" w14:textId="2111FA50"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vAlign w:val="bottom"/>
          </w:tcPr>
          <w:p w14:paraId="703FCC84" w14:textId="6244E3E8"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tcPr>
          <w:p w14:paraId="3AB13987" w14:textId="68D5E1AE" w:rsidR="00A6354D" w:rsidRPr="00760411" w:rsidRDefault="00A6354D" w:rsidP="00A6354D">
            <w:pPr>
              <w:jc w:val="right"/>
              <w:rPr>
                <w:color w:val="000000"/>
                <w:sz w:val="20"/>
                <w:szCs w:val="20"/>
              </w:rPr>
            </w:pPr>
            <w:r w:rsidRPr="00760411">
              <w:rPr>
                <w:color w:val="000000"/>
                <w:sz w:val="20"/>
                <w:szCs w:val="20"/>
              </w:rPr>
              <w:t>-</w:t>
            </w:r>
          </w:p>
        </w:tc>
        <w:tc>
          <w:tcPr>
            <w:tcW w:w="1388" w:type="dxa"/>
            <w:tcBorders>
              <w:top w:val="nil"/>
              <w:left w:val="nil"/>
              <w:bottom w:val="nil"/>
              <w:right w:val="nil"/>
            </w:tcBorders>
            <w:shd w:val="clear" w:color="auto" w:fill="auto"/>
            <w:vAlign w:val="bottom"/>
          </w:tcPr>
          <w:p w14:paraId="3BF8BB0C" w14:textId="343AE953" w:rsidR="00A6354D" w:rsidRPr="00760411" w:rsidRDefault="00A6354D" w:rsidP="00A6354D">
            <w:pPr>
              <w:jc w:val="right"/>
              <w:rPr>
                <w:color w:val="000000"/>
                <w:sz w:val="20"/>
                <w:szCs w:val="20"/>
              </w:rPr>
            </w:pPr>
            <w:r w:rsidRPr="00760411">
              <w:rPr>
                <w:color w:val="000000"/>
                <w:sz w:val="20"/>
                <w:szCs w:val="20"/>
              </w:rPr>
              <w:t>23,781</w:t>
            </w:r>
          </w:p>
        </w:tc>
        <w:tc>
          <w:tcPr>
            <w:tcW w:w="1372" w:type="dxa"/>
            <w:tcBorders>
              <w:top w:val="nil"/>
              <w:left w:val="nil"/>
              <w:bottom w:val="nil"/>
              <w:right w:val="nil"/>
            </w:tcBorders>
            <w:shd w:val="clear" w:color="auto" w:fill="auto"/>
            <w:vAlign w:val="bottom"/>
          </w:tcPr>
          <w:p w14:paraId="502C8E61" w14:textId="77777777" w:rsidR="00A6354D" w:rsidRPr="00760411" w:rsidRDefault="00A6354D" w:rsidP="00A6354D">
            <w:pPr>
              <w:jc w:val="right"/>
              <w:rPr>
                <w:color w:val="000000"/>
                <w:sz w:val="20"/>
                <w:szCs w:val="20"/>
              </w:rPr>
            </w:pPr>
          </w:p>
        </w:tc>
        <w:tc>
          <w:tcPr>
            <w:tcW w:w="1167" w:type="dxa"/>
            <w:tcBorders>
              <w:top w:val="nil"/>
              <w:left w:val="nil"/>
              <w:bottom w:val="nil"/>
              <w:right w:val="nil"/>
            </w:tcBorders>
            <w:shd w:val="clear" w:color="auto" w:fill="auto"/>
            <w:vAlign w:val="bottom"/>
          </w:tcPr>
          <w:p w14:paraId="585F02F7" w14:textId="02D649F9" w:rsidR="00A6354D" w:rsidRPr="00760411" w:rsidRDefault="00A6354D" w:rsidP="00A6354D">
            <w:pPr>
              <w:jc w:val="right"/>
              <w:rPr>
                <w:color w:val="000000"/>
                <w:sz w:val="20"/>
                <w:szCs w:val="20"/>
              </w:rPr>
            </w:pPr>
            <w:r w:rsidRPr="00760411">
              <w:rPr>
                <w:color w:val="000000"/>
                <w:sz w:val="20"/>
                <w:szCs w:val="20"/>
              </w:rPr>
              <w:t>23,781</w:t>
            </w:r>
          </w:p>
        </w:tc>
      </w:tr>
      <w:tr w:rsidR="00A6354D" w:rsidRPr="00760411" w14:paraId="5F9FDFAC" w14:textId="77777777" w:rsidTr="00760411">
        <w:trPr>
          <w:trHeight w:val="252"/>
        </w:trPr>
        <w:tc>
          <w:tcPr>
            <w:tcW w:w="4253" w:type="dxa"/>
            <w:tcBorders>
              <w:top w:val="nil"/>
              <w:left w:val="nil"/>
              <w:right w:val="nil"/>
            </w:tcBorders>
            <w:shd w:val="clear" w:color="auto" w:fill="auto"/>
            <w:vAlign w:val="bottom"/>
            <w:hideMark/>
          </w:tcPr>
          <w:p w14:paraId="10CC3948" w14:textId="5AC18596" w:rsidR="00A6354D" w:rsidRPr="00760411" w:rsidRDefault="00A6354D" w:rsidP="00A6354D">
            <w:pPr>
              <w:rPr>
                <w:color w:val="000000"/>
                <w:sz w:val="20"/>
                <w:szCs w:val="20"/>
              </w:rPr>
            </w:pPr>
            <w:r w:rsidRPr="00760411">
              <w:rPr>
                <w:sz w:val="20"/>
                <w:szCs w:val="20"/>
              </w:rPr>
              <w:t>Share-based payments</w:t>
            </w:r>
          </w:p>
        </w:tc>
        <w:tc>
          <w:tcPr>
            <w:tcW w:w="1554" w:type="dxa"/>
            <w:tcBorders>
              <w:top w:val="nil"/>
              <w:left w:val="nil"/>
              <w:right w:val="nil"/>
            </w:tcBorders>
            <w:shd w:val="clear" w:color="auto" w:fill="auto"/>
            <w:vAlign w:val="bottom"/>
            <w:hideMark/>
          </w:tcPr>
          <w:p w14:paraId="05BE2D51"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right w:val="nil"/>
            </w:tcBorders>
            <w:shd w:val="clear" w:color="auto" w:fill="auto"/>
            <w:vAlign w:val="bottom"/>
            <w:hideMark/>
          </w:tcPr>
          <w:p w14:paraId="6BDD2BB4"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right w:val="nil"/>
            </w:tcBorders>
            <w:vAlign w:val="bottom"/>
          </w:tcPr>
          <w:p w14:paraId="095CC87D" w14:textId="07E8376C"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right w:val="nil"/>
            </w:tcBorders>
            <w:shd w:val="clear" w:color="auto" w:fill="auto"/>
            <w:vAlign w:val="bottom"/>
            <w:hideMark/>
          </w:tcPr>
          <w:p w14:paraId="73CE8A84" w14:textId="27692FD5" w:rsidR="00A6354D" w:rsidRPr="00760411" w:rsidRDefault="00A6354D" w:rsidP="00A6354D">
            <w:pPr>
              <w:jc w:val="right"/>
              <w:rPr>
                <w:color w:val="000000"/>
                <w:sz w:val="20"/>
                <w:szCs w:val="20"/>
              </w:rPr>
            </w:pPr>
            <w:r w:rsidRPr="00760411">
              <w:rPr>
                <w:color w:val="000000"/>
                <w:sz w:val="20"/>
                <w:szCs w:val="20"/>
              </w:rPr>
              <w:t xml:space="preserve">113,143 </w:t>
            </w:r>
          </w:p>
        </w:tc>
        <w:tc>
          <w:tcPr>
            <w:tcW w:w="1388" w:type="dxa"/>
            <w:tcBorders>
              <w:top w:val="nil"/>
              <w:left w:val="nil"/>
              <w:right w:val="nil"/>
            </w:tcBorders>
            <w:shd w:val="clear" w:color="auto" w:fill="auto"/>
            <w:vAlign w:val="bottom"/>
            <w:hideMark/>
          </w:tcPr>
          <w:p w14:paraId="55A4D77F"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right w:val="nil"/>
            </w:tcBorders>
            <w:shd w:val="clear" w:color="auto" w:fill="auto"/>
            <w:vAlign w:val="bottom"/>
            <w:hideMark/>
          </w:tcPr>
          <w:p w14:paraId="2FEC128E"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right w:val="nil"/>
            </w:tcBorders>
            <w:shd w:val="clear" w:color="auto" w:fill="auto"/>
            <w:vAlign w:val="bottom"/>
            <w:hideMark/>
          </w:tcPr>
          <w:p w14:paraId="0E90AF40" w14:textId="7776553D" w:rsidR="00A6354D" w:rsidRPr="00760411" w:rsidRDefault="00A6354D" w:rsidP="00A6354D">
            <w:pPr>
              <w:jc w:val="right"/>
              <w:rPr>
                <w:color w:val="000000"/>
                <w:sz w:val="20"/>
                <w:szCs w:val="20"/>
              </w:rPr>
            </w:pPr>
            <w:r w:rsidRPr="00760411">
              <w:rPr>
                <w:color w:val="000000"/>
                <w:sz w:val="20"/>
                <w:szCs w:val="20"/>
              </w:rPr>
              <w:t xml:space="preserve">113,143 </w:t>
            </w:r>
          </w:p>
        </w:tc>
      </w:tr>
      <w:tr w:rsidR="00A6354D" w:rsidRPr="00760411" w14:paraId="2BA4CCDC" w14:textId="77777777" w:rsidTr="00760411">
        <w:trPr>
          <w:trHeight w:val="66"/>
        </w:trPr>
        <w:tc>
          <w:tcPr>
            <w:tcW w:w="4253" w:type="dxa"/>
            <w:tcBorders>
              <w:top w:val="nil"/>
              <w:left w:val="nil"/>
              <w:right w:val="nil"/>
            </w:tcBorders>
            <w:shd w:val="clear" w:color="auto" w:fill="auto"/>
            <w:vAlign w:val="bottom"/>
            <w:hideMark/>
          </w:tcPr>
          <w:p w14:paraId="1354B6E2" w14:textId="1283944D" w:rsidR="00A6354D" w:rsidRPr="00760411" w:rsidRDefault="00A6354D" w:rsidP="00A6354D">
            <w:pPr>
              <w:rPr>
                <w:color w:val="000000"/>
                <w:sz w:val="20"/>
                <w:szCs w:val="20"/>
              </w:rPr>
            </w:pPr>
            <w:r w:rsidRPr="00760411">
              <w:rPr>
                <w:sz w:val="20"/>
                <w:szCs w:val="20"/>
              </w:rPr>
              <w:t>Net loss for the period</w:t>
            </w:r>
          </w:p>
        </w:tc>
        <w:tc>
          <w:tcPr>
            <w:tcW w:w="1554" w:type="dxa"/>
            <w:tcBorders>
              <w:top w:val="nil"/>
              <w:left w:val="nil"/>
              <w:right w:val="nil"/>
            </w:tcBorders>
            <w:shd w:val="clear" w:color="auto" w:fill="auto"/>
            <w:vAlign w:val="bottom"/>
            <w:hideMark/>
          </w:tcPr>
          <w:p w14:paraId="33F8B712"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right w:val="nil"/>
            </w:tcBorders>
            <w:shd w:val="clear" w:color="auto" w:fill="auto"/>
            <w:vAlign w:val="bottom"/>
            <w:hideMark/>
          </w:tcPr>
          <w:p w14:paraId="67940581"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right w:val="nil"/>
            </w:tcBorders>
            <w:vAlign w:val="bottom"/>
          </w:tcPr>
          <w:p w14:paraId="01465E80" w14:textId="72A2E4C0"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right w:val="nil"/>
            </w:tcBorders>
            <w:shd w:val="clear" w:color="auto" w:fill="auto"/>
            <w:vAlign w:val="bottom"/>
            <w:hideMark/>
          </w:tcPr>
          <w:p w14:paraId="13FF9DC5" w14:textId="132EB0EE"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right w:val="nil"/>
            </w:tcBorders>
            <w:shd w:val="clear" w:color="auto" w:fill="auto"/>
            <w:vAlign w:val="bottom"/>
            <w:hideMark/>
          </w:tcPr>
          <w:p w14:paraId="5054536D"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right w:val="nil"/>
            </w:tcBorders>
            <w:shd w:val="clear" w:color="auto" w:fill="auto"/>
            <w:vAlign w:val="bottom"/>
            <w:hideMark/>
          </w:tcPr>
          <w:p w14:paraId="4E1153AA" w14:textId="5EFC1E26" w:rsidR="00A6354D" w:rsidRPr="00760411" w:rsidRDefault="00A6354D" w:rsidP="00A6354D">
            <w:pPr>
              <w:jc w:val="right"/>
              <w:rPr>
                <w:color w:val="000000"/>
                <w:sz w:val="20"/>
                <w:szCs w:val="20"/>
              </w:rPr>
            </w:pPr>
            <w:r w:rsidRPr="00760411">
              <w:rPr>
                <w:color w:val="000000"/>
                <w:sz w:val="20"/>
                <w:szCs w:val="20"/>
              </w:rPr>
              <w:t>(1,550,684)</w:t>
            </w:r>
          </w:p>
        </w:tc>
        <w:tc>
          <w:tcPr>
            <w:tcW w:w="1167" w:type="dxa"/>
            <w:tcBorders>
              <w:top w:val="nil"/>
              <w:left w:val="nil"/>
              <w:right w:val="nil"/>
            </w:tcBorders>
            <w:shd w:val="clear" w:color="auto" w:fill="auto"/>
            <w:vAlign w:val="bottom"/>
            <w:hideMark/>
          </w:tcPr>
          <w:p w14:paraId="09C37D26" w14:textId="2284DF02" w:rsidR="00A6354D" w:rsidRPr="00760411" w:rsidRDefault="00A6354D" w:rsidP="00A6354D">
            <w:pPr>
              <w:jc w:val="right"/>
              <w:rPr>
                <w:color w:val="000000"/>
                <w:sz w:val="20"/>
                <w:szCs w:val="20"/>
              </w:rPr>
            </w:pPr>
            <w:r w:rsidRPr="00760411">
              <w:rPr>
                <w:color w:val="000000"/>
                <w:sz w:val="20"/>
                <w:szCs w:val="20"/>
              </w:rPr>
              <w:t>(1,550,684)</w:t>
            </w:r>
          </w:p>
        </w:tc>
      </w:tr>
      <w:tr w:rsidR="00A6354D" w:rsidRPr="00760411" w14:paraId="4E14D668" w14:textId="77777777" w:rsidTr="00760411">
        <w:trPr>
          <w:trHeight w:val="252"/>
        </w:trPr>
        <w:tc>
          <w:tcPr>
            <w:tcW w:w="4253" w:type="dxa"/>
            <w:tcBorders>
              <w:top w:val="single" w:sz="4" w:space="0" w:color="auto"/>
              <w:left w:val="nil"/>
              <w:bottom w:val="nil"/>
              <w:right w:val="nil"/>
            </w:tcBorders>
            <w:shd w:val="clear" w:color="auto" w:fill="auto"/>
            <w:vAlign w:val="bottom"/>
            <w:hideMark/>
          </w:tcPr>
          <w:p w14:paraId="531FBCD6" w14:textId="4DBD387D" w:rsidR="00A6354D" w:rsidRPr="00760411" w:rsidRDefault="00A6354D" w:rsidP="00A6354D">
            <w:pPr>
              <w:rPr>
                <w:b/>
                <w:bCs/>
                <w:color w:val="000000"/>
                <w:sz w:val="20"/>
                <w:szCs w:val="20"/>
              </w:rPr>
            </w:pPr>
            <w:r w:rsidRPr="00760411">
              <w:rPr>
                <w:b/>
                <w:bCs/>
                <w:color w:val="000000"/>
                <w:sz w:val="20"/>
                <w:szCs w:val="20"/>
              </w:rPr>
              <w:t>Balance, June 30, 2020</w:t>
            </w:r>
          </w:p>
        </w:tc>
        <w:tc>
          <w:tcPr>
            <w:tcW w:w="1554" w:type="dxa"/>
            <w:tcBorders>
              <w:top w:val="single" w:sz="4" w:space="0" w:color="auto"/>
              <w:left w:val="nil"/>
              <w:bottom w:val="nil"/>
              <w:right w:val="nil"/>
            </w:tcBorders>
            <w:shd w:val="clear" w:color="auto" w:fill="auto"/>
            <w:vAlign w:val="bottom"/>
            <w:hideMark/>
          </w:tcPr>
          <w:p w14:paraId="039C521C" w14:textId="7FA76BF9" w:rsidR="00A6354D" w:rsidRPr="00760411" w:rsidRDefault="00A6354D" w:rsidP="00A6354D">
            <w:pPr>
              <w:jc w:val="right"/>
              <w:rPr>
                <w:color w:val="000000"/>
                <w:sz w:val="20"/>
                <w:szCs w:val="20"/>
              </w:rPr>
            </w:pPr>
            <w:r w:rsidRPr="00760411">
              <w:rPr>
                <w:color w:val="000000"/>
                <w:sz w:val="20"/>
                <w:szCs w:val="20"/>
              </w:rPr>
              <w:t>55,</w:t>
            </w:r>
            <w:r w:rsidR="00D75D3C" w:rsidRPr="00760411">
              <w:rPr>
                <w:color w:val="000000"/>
                <w:sz w:val="20"/>
                <w:szCs w:val="20"/>
              </w:rPr>
              <w:t>775</w:t>
            </w:r>
            <w:r w:rsidRPr="00760411">
              <w:rPr>
                <w:color w:val="000000"/>
                <w:sz w:val="20"/>
                <w:szCs w:val="20"/>
              </w:rPr>
              <w:t xml:space="preserve">,763 </w:t>
            </w:r>
          </w:p>
        </w:tc>
        <w:tc>
          <w:tcPr>
            <w:tcW w:w="1135" w:type="dxa"/>
            <w:tcBorders>
              <w:top w:val="single" w:sz="4" w:space="0" w:color="auto"/>
              <w:left w:val="nil"/>
              <w:bottom w:val="nil"/>
              <w:right w:val="nil"/>
            </w:tcBorders>
            <w:shd w:val="clear" w:color="auto" w:fill="auto"/>
            <w:vAlign w:val="bottom"/>
            <w:hideMark/>
          </w:tcPr>
          <w:p w14:paraId="1F06B306" w14:textId="2AFD17BE" w:rsidR="00A6354D" w:rsidRPr="00760411" w:rsidRDefault="00A6354D" w:rsidP="00A6354D">
            <w:pPr>
              <w:jc w:val="right"/>
              <w:rPr>
                <w:color w:val="000000"/>
                <w:sz w:val="20"/>
                <w:szCs w:val="20"/>
              </w:rPr>
            </w:pPr>
            <w:r w:rsidRPr="00760411">
              <w:rPr>
                <w:color w:val="000000"/>
                <w:sz w:val="20"/>
                <w:szCs w:val="20"/>
              </w:rPr>
              <w:t xml:space="preserve">6,157,651 </w:t>
            </w:r>
          </w:p>
        </w:tc>
        <w:tc>
          <w:tcPr>
            <w:tcW w:w="1172" w:type="dxa"/>
            <w:tcBorders>
              <w:top w:val="single" w:sz="4" w:space="0" w:color="auto"/>
              <w:left w:val="nil"/>
              <w:bottom w:val="nil"/>
              <w:right w:val="nil"/>
            </w:tcBorders>
            <w:vAlign w:val="bottom"/>
          </w:tcPr>
          <w:p w14:paraId="17F39992" w14:textId="6E2E94A1"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single" w:sz="4" w:space="0" w:color="auto"/>
              <w:left w:val="nil"/>
              <w:bottom w:val="nil"/>
              <w:right w:val="nil"/>
            </w:tcBorders>
            <w:shd w:val="clear" w:color="auto" w:fill="auto"/>
            <w:vAlign w:val="bottom"/>
            <w:hideMark/>
          </w:tcPr>
          <w:p w14:paraId="4EFCA14A" w14:textId="09A8488A" w:rsidR="00A6354D" w:rsidRPr="00760411" w:rsidRDefault="00A6354D" w:rsidP="00A6354D">
            <w:pPr>
              <w:jc w:val="right"/>
              <w:rPr>
                <w:color w:val="000000"/>
                <w:sz w:val="20"/>
                <w:szCs w:val="20"/>
              </w:rPr>
            </w:pPr>
            <w:r w:rsidRPr="00760411">
              <w:rPr>
                <w:color w:val="000000"/>
                <w:sz w:val="20"/>
                <w:szCs w:val="20"/>
              </w:rPr>
              <w:t xml:space="preserve">482,772 </w:t>
            </w:r>
          </w:p>
        </w:tc>
        <w:tc>
          <w:tcPr>
            <w:tcW w:w="1388" w:type="dxa"/>
            <w:tcBorders>
              <w:top w:val="single" w:sz="4" w:space="0" w:color="auto"/>
              <w:left w:val="nil"/>
              <w:bottom w:val="nil"/>
              <w:right w:val="nil"/>
            </w:tcBorders>
            <w:shd w:val="clear" w:color="auto" w:fill="auto"/>
            <w:vAlign w:val="bottom"/>
            <w:hideMark/>
          </w:tcPr>
          <w:p w14:paraId="4CC472F7" w14:textId="77777777" w:rsidR="00A6354D" w:rsidRPr="00760411" w:rsidRDefault="00A6354D" w:rsidP="00A6354D">
            <w:pPr>
              <w:jc w:val="right"/>
              <w:rPr>
                <w:color w:val="000000"/>
                <w:sz w:val="20"/>
                <w:szCs w:val="20"/>
              </w:rPr>
            </w:pPr>
            <w:r w:rsidRPr="00760411">
              <w:rPr>
                <w:color w:val="000000"/>
                <w:sz w:val="20"/>
                <w:szCs w:val="20"/>
              </w:rPr>
              <w:t xml:space="preserve">23,781 </w:t>
            </w:r>
          </w:p>
        </w:tc>
        <w:tc>
          <w:tcPr>
            <w:tcW w:w="1372" w:type="dxa"/>
            <w:tcBorders>
              <w:top w:val="single" w:sz="4" w:space="0" w:color="auto"/>
              <w:left w:val="nil"/>
              <w:bottom w:val="nil"/>
              <w:right w:val="nil"/>
            </w:tcBorders>
            <w:shd w:val="clear" w:color="auto" w:fill="auto"/>
            <w:vAlign w:val="bottom"/>
            <w:hideMark/>
          </w:tcPr>
          <w:p w14:paraId="277B5AD4" w14:textId="46D8E4B5" w:rsidR="00A6354D" w:rsidRPr="00760411" w:rsidRDefault="00A6354D" w:rsidP="00A6354D">
            <w:pPr>
              <w:jc w:val="right"/>
              <w:rPr>
                <w:color w:val="000000"/>
                <w:sz w:val="20"/>
                <w:szCs w:val="20"/>
              </w:rPr>
            </w:pPr>
            <w:r w:rsidRPr="00760411">
              <w:rPr>
                <w:color w:val="000000"/>
                <w:sz w:val="20"/>
                <w:szCs w:val="20"/>
              </w:rPr>
              <w:t>(9,237,918)</w:t>
            </w:r>
          </w:p>
        </w:tc>
        <w:tc>
          <w:tcPr>
            <w:tcW w:w="1167" w:type="dxa"/>
            <w:tcBorders>
              <w:top w:val="single" w:sz="4" w:space="0" w:color="auto"/>
              <w:left w:val="nil"/>
              <w:bottom w:val="nil"/>
              <w:right w:val="nil"/>
            </w:tcBorders>
            <w:shd w:val="clear" w:color="auto" w:fill="auto"/>
            <w:vAlign w:val="bottom"/>
            <w:hideMark/>
          </w:tcPr>
          <w:p w14:paraId="42583C79" w14:textId="1A074BE1" w:rsidR="00A6354D" w:rsidRPr="00760411" w:rsidRDefault="00A6354D" w:rsidP="00A6354D">
            <w:pPr>
              <w:jc w:val="right"/>
              <w:rPr>
                <w:color w:val="000000"/>
                <w:sz w:val="20"/>
                <w:szCs w:val="20"/>
              </w:rPr>
            </w:pPr>
            <w:r w:rsidRPr="00760411">
              <w:rPr>
                <w:color w:val="000000"/>
                <w:sz w:val="20"/>
                <w:szCs w:val="20"/>
              </w:rPr>
              <w:t>(2,573,714)</w:t>
            </w:r>
          </w:p>
        </w:tc>
      </w:tr>
      <w:tr w:rsidR="00A6354D" w:rsidRPr="00760411" w14:paraId="2A943516" w14:textId="77777777" w:rsidTr="00760411">
        <w:trPr>
          <w:trHeight w:val="252"/>
        </w:trPr>
        <w:tc>
          <w:tcPr>
            <w:tcW w:w="4253" w:type="dxa"/>
            <w:tcBorders>
              <w:top w:val="nil"/>
              <w:left w:val="nil"/>
              <w:bottom w:val="nil"/>
              <w:right w:val="nil"/>
            </w:tcBorders>
            <w:shd w:val="clear" w:color="auto" w:fill="auto"/>
            <w:vAlign w:val="bottom"/>
            <w:hideMark/>
          </w:tcPr>
          <w:p w14:paraId="6E0CADB4" w14:textId="3EEE9966" w:rsidR="00A6354D" w:rsidRPr="00760411" w:rsidRDefault="00A6354D" w:rsidP="00A6354D">
            <w:pPr>
              <w:rPr>
                <w:color w:val="000000"/>
                <w:sz w:val="20"/>
                <w:szCs w:val="20"/>
              </w:rPr>
            </w:pPr>
            <w:r w:rsidRPr="00760411">
              <w:rPr>
                <w:color w:val="000000"/>
                <w:sz w:val="20"/>
                <w:szCs w:val="20"/>
              </w:rPr>
              <w:t>Shares issued under RSU plan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7770C8B3" w14:textId="50708467" w:rsidR="00A6354D" w:rsidRPr="00760411" w:rsidRDefault="00A6354D" w:rsidP="00A6354D">
            <w:pPr>
              <w:jc w:val="right"/>
              <w:rPr>
                <w:color w:val="000000"/>
                <w:sz w:val="20"/>
                <w:szCs w:val="20"/>
              </w:rPr>
            </w:pPr>
            <w:r w:rsidRPr="00760411">
              <w:rPr>
                <w:color w:val="000000"/>
                <w:sz w:val="20"/>
                <w:szCs w:val="20"/>
              </w:rPr>
              <w:t xml:space="preserve">50,000 </w:t>
            </w:r>
          </w:p>
        </w:tc>
        <w:tc>
          <w:tcPr>
            <w:tcW w:w="1135" w:type="dxa"/>
            <w:tcBorders>
              <w:top w:val="nil"/>
              <w:left w:val="nil"/>
              <w:bottom w:val="nil"/>
              <w:right w:val="nil"/>
            </w:tcBorders>
            <w:shd w:val="clear" w:color="auto" w:fill="auto"/>
            <w:vAlign w:val="bottom"/>
            <w:hideMark/>
          </w:tcPr>
          <w:p w14:paraId="3CD07409" w14:textId="5DE4D44D" w:rsidR="00A6354D" w:rsidRPr="00760411" w:rsidRDefault="00A6354D" w:rsidP="00A6354D">
            <w:pPr>
              <w:jc w:val="right"/>
              <w:rPr>
                <w:color w:val="000000"/>
                <w:sz w:val="20"/>
                <w:szCs w:val="20"/>
              </w:rPr>
            </w:pPr>
            <w:r w:rsidRPr="00760411">
              <w:rPr>
                <w:color w:val="000000"/>
                <w:sz w:val="20"/>
                <w:szCs w:val="20"/>
              </w:rPr>
              <w:t xml:space="preserve">8,250 </w:t>
            </w:r>
          </w:p>
        </w:tc>
        <w:tc>
          <w:tcPr>
            <w:tcW w:w="1172" w:type="dxa"/>
            <w:tcBorders>
              <w:top w:val="nil"/>
              <w:left w:val="nil"/>
              <w:bottom w:val="nil"/>
              <w:right w:val="nil"/>
            </w:tcBorders>
            <w:vAlign w:val="bottom"/>
          </w:tcPr>
          <w:p w14:paraId="479E37FA" w14:textId="0C08E080"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3E200791" w14:textId="207BC76C" w:rsidR="00A6354D" w:rsidRPr="00760411" w:rsidRDefault="00A6354D" w:rsidP="00A6354D">
            <w:pPr>
              <w:jc w:val="right"/>
              <w:rPr>
                <w:color w:val="000000"/>
                <w:sz w:val="20"/>
                <w:szCs w:val="20"/>
                <w:highlight w:val="yellow"/>
              </w:rPr>
            </w:pPr>
            <w:r w:rsidRPr="00760411">
              <w:rPr>
                <w:color w:val="000000"/>
                <w:sz w:val="20"/>
                <w:szCs w:val="20"/>
              </w:rPr>
              <w:t>(8,250)</w:t>
            </w:r>
          </w:p>
        </w:tc>
        <w:tc>
          <w:tcPr>
            <w:tcW w:w="1388" w:type="dxa"/>
            <w:tcBorders>
              <w:top w:val="nil"/>
              <w:left w:val="nil"/>
              <w:bottom w:val="nil"/>
              <w:right w:val="nil"/>
            </w:tcBorders>
            <w:shd w:val="clear" w:color="auto" w:fill="auto"/>
            <w:vAlign w:val="bottom"/>
            <w:hideMark/>
          </w:tcPr>
          <w:p w14:paraId="6DCF122D" w14:textId="42AB72D7"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3BF933A5" w14:textId="2738696E"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623F1EFA" w14:textId="28B114AA" w:rsidR="00A6354D" w:rsidRPr="00760411" w:rsidRDefault="00A6354D" w:rsidP="00A6354D">
            <w:pPr>
              <w:jc w:val="right"/>
              <w:rPr>
                <w:color w:val="000000"/>
                <w:sz w:val="20"/>
                <w:szCs w:val="20"/>
                <w:highlight w:val="yellow"/>
              </w:rPr>
            </w:pPr>
            <w:r w:rsidRPr="00760411">
              <w:rPr>
                <w:color w:val="000000"/>
                <w:sz w:val="20"/>
                <w:szCs w:val="20"/>
              </w:rPr>
              <w:t xml:space="preserve">- </w:t>
            </w:r>
          </w:p>
        </w:tc>
      </w:tr>
      <w:tr w:rsidR="00A6354D" w:rsidRPr="00760411" w14:paraId="0438E76B" w14:textId="77777777" w:rsidTr="00760411">
        <w:trPr>
          <w:trHeight w:val="252"/>
        </w:trPr>
        <w:tc>
          <w:tcPr>
            <w:tcW w:w="4253" w:type="dxa"/>
            <w:tcBorders>
              <w:top w:val="nil"/>
              <w:left w:val="nil"/>
              <w:bottom w:val="nil"/>
              <w:right w:val="nil"/>
            </w:tcBorders>
            <w:shd w:val="clear" w:color="auto" w:fill="auto"/>
            <w:vAlign w:val="bottom"/>
            <w:hideMark/>
          </w:tcPr>
          <w:p w14:paraId="12C565C9" w14:textId="59205977" w:rsidR="00A6354D" w:rsidRPr="00760411" w:rsidRDefault="00A6354D" w:rsidP="00A6354D">
            <w:pPr>
              <w:rPr>
                <w:color w:val="000000"/>
                <w:sz w:val="20"/>
                <w:szCs w:val="20"/>
              </w:rPr>
            </w:pPr>
            <w:r w:rsidRPr="00760411">
              <w:rPr>
                <w:color w:val="000000"/>
                <w:sz w:val="20"/>
                <w:szCs w:val="20"/>
              </w:rPr>
              <w:t>Shares issued for private placement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39DE8CDD" w14:textId="692D0E1C" w:rsidR="00A6354D" w:rsidRPr="00760411" w:rsidRDefault="00A6354D" w:rsidP="00A6354D">
            <w:pPr>
              <w:jc w:val="right"/>
              <w:rPr>
                <w:color w:val="000000"/>
                <w:sz w:val="20"/>
                <w:szCs w:val="20"/>
              </w:rPr>
            </w:pPr>
            <w:r w:rsidRPr="00760411">
              <w:rPr>
                <w:color w:val="000000"/>
                <w:sz w:val="20"/>
                <w:szCs w:val="20"/>
              </w:rPr>
              <w:t xml:space="preserve">15,567,401 </w:t>
            </w:r>
          </w:p>
        </w:tc>
        <w:tc>
          <w:tcPr>
            <w:tcW w:w="1135" w:type="dxa"/>
            <w:tcBorders>
              <w:top w:val="nil"/>
              <w:left w:val="nil"/>
              <w:bottom w:val="nil"/>
              <w:right w:val="nil"/>
            </w:tcBorders>
            <w:shd w:val="clear" w:color="auto" w:fill="auto"/>
            <w:vAlign w:val="bottom"/>
            <w:hideMark/>
          </w:tcPr>
          <w:p w14:paraId="29CEC0A5" w14:textId="43660B9F" w:rsidR="00A6354D" w:rsidRPr="00760411" w:rsidRDefault="00A6354D" w:rsidP="00A6354D">
            <w:pPr>
              <w:jc w:val="right"/>
              <w:rPr>
                <w:color w:val="000000"/>
                <w:sz w:val="20"/>
                <w:szCs w:val="20"/>
              </w:rPr>
            </w:pPr>
            <w:r w:rsidRPr="00760411">
              <w:rPr>
                <w:color w:val="000000"/>
                <w:sz w:val="20"/>
                <w:szCs w:val="20"/>
              </w:rPr>
              <w:t xml:space="preserve">2,335,110 </w:t>
            </w:r>
          </w:p>
        </w:tc>
        <w:tc>
          <w:tcPr>
            <w:tcW w:w="1172" w:type="dxa"/>
            <w:tcBorders>
              <w:top w:val="nil"/>
              <w:left w:val="nil"/>
              <w:bottom w:val="nil"/>
              <w:right w:val="nil"/>
            </w:tcBorders>
            <w:vAlign w:val="bottom"/>
          </w:tcPr>
          <w:p w14:paraId="5ACBBCAE" w14:textId="4B99334A"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40312E6D" w14:textId="6AAF1BD5"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39CEEB95" w14:textId="13F981E9"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523080C1" w14:textId="31004E66"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29C84CD9" w14:textId="3E96EF26" w:rsidR="00A6354D" w:rsidRPr="00760411" w:rsidRDefault="00A6354D" w:rsidP="00A6354D">
            <w:pPr>
              <w:jc w:val="right"/>
              <w:rPr>
                <w:color w:val="000000"/>
                <w:sz w:val="20"/>
                <w:szCs w:val="20"/>
                <w:highlight w:val="yellow"/>
              </w:rPr>
            </w:pPr>
            <w:r w:rsidRPr="00760411">
              <w:rPr>
                <w:color w:val="000000"/>
                <w:sz w:val="20"/>
                <w:szCs w:val="20"/>
              </w:rPr>
              <w:t xml:space="preserve">2,335,110 </w:t>
            </w:r>
          </w:p>
        </w:tc>
      </w:tr>
      <w:tr w:rsidR="00A6354D" w:rsidRPr="00760411" w14:paraId="2582947B" w14:textId="77777777" w:rsidTr="00760411">
        <w:trPr>
          <w:trHeight w:val="252"/>
        </w:trPr>
        <w:tc>
          <w:tcPr>
            <w:tcW w:w="4253" w:type="dxa"/>
            <w:tcBorders>
              <w:top w:val="nil"/>
              <w:left w:val="nil"/>
              <w:bottom w:val="nil"/>
              <w:right w:val="nil"/>
            </w:tcBorders>
            <w:shd w:val="clear" w:color="auto" w:fill="auto"/>
            <w:vAlign w:val="bottom"/>
            <w:hideMark/>
          </w:tcPr>
          <w:p w14:paraId="1612AB65" w14:textId="483861F7" w:rsidR="00A6354D" w:rsidRPr="00760411" w:rsidRDefault="00A6354D" w:rsidP="00A6354D">
            <w:pPr>
              <w:rPr>
                <w:color w:val="000000"/>
                <w:sz w:val="20"/>
                <w:szCs w:val="20"/>
              </w:rPr>
            </w:pPr>
            <w:r w:rsidRPr="00760411">
              <w:rPr>
                <w:color w:val="000000"/>
                <w:sz w:val="20"/>
                <w:szCs w:val="20"/>
              </w:rPr>
              <w:t>Private placement costs – cash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65460C05" w14:textId="5FE6A721"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4B47FCD9" w14:textId="47FA9D35" w:rsidR="00A6354D" w:rsidRPr="00760411" w:rsidRDefault="00A6354D" w:rsidP="00A6354D">
            <w:pPr>
              <w:jc w:val="right"/>
              <w:rPr>
                <w:color w:val="000000"/>
                <w:sz w:val="20"/>
                <w:szCs w:val="20"/>
              </w:rPr>
            </w:pPr>
            <w:r w:rsidRPr="00760411">
              <w:rPr>
                <w:color w:val="000000"/>
                <w:sz w:val="20"/>
                <w:szCs w:val="20"/>
              </w:rPr>
              <w:t>(12,705)</w:t>
            </w:r>
          </w:p>
        </w:tc>
        <w:tc>
          <w:tcPr>
            <w:tcW w:w="1172" w:type="dxa"/>
            <w:tcBorders>
              <w:top w:val="nil"/>
              <w:left w:val="nil"/>
              <w:bottom w:val="nil"/>
              <w:right w:val="nil"/>
            </w:tcBorders>
            <w:vAlign w:val="bottom"/>
          </w:tcPr>
          <w:p w14:paraId="1A726E54" w14:textId="4F517ED7"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7C712B48" w14:textId="077123AE"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1C965B59" w14:textId="030AE01D"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4F3B3847" w14:textId="0289056D"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2DEAD88E" w14:textId="150896A9" w:rsidR="00A6354D" w:rsidRPr="00760411" w:rsidRDefault="00A6354D" w:rsidP="00A6354D">
            <w:pPr>
              <w:jc w:val="right"/>
              <w:rPr>
                <w:color w:val="000000"/>
                <w:sz w:val="20"/>
                <w:szCs w:val="20"/>
                <w:highlight w:val="yellow"/>
              </w:rPr>
            </w:pPr>
            <w:r w:rsidRPr="00760411">
              <w:rPr>
                <w:color w:val="000000"/>
                <w:sz w:val="20"/>
                <w:szCs w:val="20"/>
              </w:rPr>
              <w:t>(12,705)</w:t>
            </w:r>
          </w:p>
        </w:tc>
      </w:tr>
      <w:tr w:rsidR="00A6354D" w:rsidRPr="00760411" w14:paraId="39C03F86" w14:textId="77777777" w:rsidTr="00760411">
        <w:trPr>
          <w:trHeight w:val="252"/>
        </w:trPr>
        <w:tc>
          <w:tcPr>
            <w:tcW w:w="4253" w:type="dxa"/>
            <w:tcBorders>
              <w:top w:val="nil"/>
              <w:left w:val="nil"/>
              <w:bottom w:val="nil"/>
              <w:right w:val="nil"/>
            </w:tcBorders>
            <w:shd w:val="clear" w:color="auto" w:fill="auto"/>
            <w:vAlign w:val="bottom"/>
            <w:hideMark/>
          </w:tcPr>
          <w:p w14:paraId="1D8704CF" w14:textId="18E042D5" w:rsidR="00A6354D" w:rsidRPr="00760411" w:rsidRDefault="00A6354D" w:rsidP="00A6354D">
            <w:pPr>
              <w:rPr>
                <w:color w:val="000000"/>
                <w:sz w:val="20"/>
                <w:szCs w:val="20"/>
              </w:rPr>
            </w:pPr>
            <w:r w:rsidRPr="00760411">
              <w:rPr>
                <w:color w:val="000000"/>
                <w:sz w:val="20"/>
                <w:szCs w:val="20"/>
              </w:rPr>
              <w:t>Private placement costs – agents’ warrants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5FD02FAC" w14:textId="33E194BB"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50C1B559" w14:textId="3834A601" w:rsidR="00A6354D" w:rsidRPr="00760411" w:rsidRDefault="00A6354D" w:rsidP="00A6354D">
            <w:pPr>
              <w:jc w:val="right"/>
              <w:rPr>
                <w:color w:val="000000"/>
                <w:sz w:val="20"/>
                <w:szCs w:val="20"/>
              </w:rPr>
            </w:pPr>
            <w:r w:rsidRPr="00760411">
              <w:rPr>
                <w:color w:val="000000"/>
                <w:sz w:val="20"/>
                <w:szCs w:val="20"/>
              </w:rPr>
              <w:t>(8,155)</w:t>
            </w:r>
          </w:p>
        </w:tc>
        <w:tc>
          <w:tcPr>
            <w:tcW w:w="1172" w:type="dxa"/>
            <w:tcBorders>
              <w:top w:val="nil"/>
              <w:left w:val="nil"/>
              <w:bottom w:val="nil"/>
              <w:right w:val="nil"/>
            </w:tcBorders>
            <w:vAlign w:val="bottom"/>
          </w:tcPr>
          <w:p w14:paraId="1163FD20" w14:textId="047BD999"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4AA8CB17" w14:textId="079244BF" w:rsidR="00A6354D" w:rsidRPr="00760411" w:rsidRDefault="00A6354D" w:rsidP="00A6354D">
            <w:pPr>
              <w:jc w:val="right"/>
              <w:rPr>
                <w:color w:val="000000"/>
                <w:sz w:val="20"/>
                <w:szCs w:val="20"/>
                <w:highlight w:val="yellow"/>
              </w:rPr>
            </w:pPr>
            <w:r w:rsidRPr="00760411">
              <w:rPr>
                <w:color w:val="000000"/>
                <w:sz w:val="20"/>
                <w:szCs w:val="20"/>
              </w:rPr>
              <w:t xml:space="preserve">8,155 </w:t>
            </w:r>
          </w:p>
        </w:tc>
        <w:tc>
          <w:tcPr>
            <w:tcW w:w="1388" w:type="dxa"/>
            <w:tcBorders>
              <w:top w:val="nil"/>
              <w:left w:val="nil"/>
              <w:bottom w:val="nil"/>
              <w:right w:val="nil"/>
            </w:tcBorders>
            <w:shd w:val="clear" w:color="auto" w:fill="auto"/>
            <w:vAlign w:val="bottom"/>
            <w:hideMark/>
          </w:tcPr>
          <w:p w14:paraId="488409B2" w14:textId="2215E0A9"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0C74D16D" w14:textId="29A565B3"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7892FB51" w14:textId="6263C4EA" w:rsidR="00A6354D" w:rsidRPr="00760411" w:rsidRDefault="00A6354D" w:rsidP="00A6354D">
            <w:pPr>
              <w:jc w:val="right"/>
              <w:rPr>
                <w:color w:val="000000"/>
                <w:sz w:val="20"/>
                <w:szCs w:val="20"/>
                <w:highlight w:val="yellow"/>
              </w:rPr>
            </w:pPr>
            <w:r w:rsidRPr="00760411">
              <w:rPr>
                <w:color w:val="000000"/>
                <w:sz w:val="20"/>
                <w:szCs w:val="20"/>
              </w:rPr>
              <w:t xml:space="preserve">- </w:t>
            </w:r>
          </w:p>
        </w:tc>
      </w:tr>
      <w:tr w:rsidR="00A6354D" w:rsidRPr="00760411" w14:paraId="155D6BD8" w14:textId="77777777" w:rsidTr="00760411">
        <w:trPr>
          <w:trHeight w:val="252"/>
        </w:trPr>
        <w:tc>
          <w:tcPr>
            <w:tcW w:w="4253" w:type="dxa"/>
            <w:tcBorders>
              <w:top w:val="nil"/>
              <w:left w:val="nil"/>
              <w:bottom w:val="nil"/>
              <w:right w:val="nil"/>
            </w:tcBorders>
            <w:shd w:val="clear" w:color="auto" w:fill="auto"/>
            <w:vAlign w:val="bottom"/>
            <w:hideMark/>
          </w:tcPr>
          <w:p w14:paraId="1F51BD24" w14:textId="6FBEE593" w:rsidR="00A6354D" w:rsidRPr="00760411" w:rsidRDefault="00A6354D" w:rsidP="00A6354D">
            <w:pPr>
              <w:rPr>
                <w:color w:val="000000"/>
                <w:sz w:val="20"/>
                <w:szCs w:val="20"/>
              </w:rPr>
            </w:pPr>
            <w:r w:rsidRPr="00760411">
              <w:rPr>
                <w:color w:val="000000"/>
                <w:sz w:val="20"/>
                <w:szCs w:val="20"/>
              </w:rPr>
              <w:t>Private placement costs – agents’ units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1DD1D02B" w14:textId="36D47103" w:rsidR="00A6354D" w:rsidRPr="00760411" w:rsidRDefault="00A6354D" w:rsidP="00A6354D">
            <w:pPr>
              <w:jc w:val="right"/>
              <w:rPr>
                <w:color w:val="000000"/>
                <w:sz w:val="20"/>
                <w:szCs w:val="20"/>
              </w:rPr>
            </w:pPr>
            <w:r w:rsidRPr="00760411">
              <w:rPr>
                <w:color w:val="000000"/>
                <w:sz w:val="20"/>
                <w:szCs w:val="20"/>
              </w:rPr>
              <w:t xml:space="preserve">303,333 </w:t>
            </w:r>
          </w:p>
        </w:tc>
        <w:tc>
          <w:tcPr>
            <w:tcW w:w="1135" w:type="dxa"/>
            <w:tcBorders>
              <w:top w:val="nil"/>
              <w:left w:val="nil"/>
              <w:bottom w:val="nil"/>
              <w:right w:val="nil"/>
            </w:tcBorders>
            <w:shd w:val="clear" w:color="auto" w:fill="auto"/>
            <w:vAlign w:val="bottom"/>
            <w:hideMark/>
          </w:tcPr>
          <w:p w14:paraId="152BBD0B" w14:textId="19CC250D"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bottom w:val="nil"/>
              <w:right w:val="nil"/>
            </w:tcBorders>
            <w:vAlign w:val="bottom"/>
          </w:tcPr>
          <w:p w14:paraId="1FDCF9DA" w14:textId="1E576DBE"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7DA80AE9" w14:textId="7076FD36"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32B78295" w14:textId="310E589D"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4519645F" w14:textId="1D4B644E"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7A2C6CF8" w14:textId="3D938E68" w:rsidR="00A6354D" w:rsidRPr="00760411" w:rsidRDefault="00A6354D" w:rsidP="00A6354D">
            <w:pPr>
              <w:jc w:val="right"/>
              <w:rPr>
                <w:color w:val="000000"/>
                <w:sz w:val="20"/>
                <w:szCs w:val="20"/>
                <w:highlight w:val="yellow"/>
              </w:rPr>
            </w:pPr>
            <w:r w:rsidRPr="00760411">
              <w:rPr>
                <w:color w:val="000000"/>
                <w:sz w:val="20"/>
                <w:szCs w:val="20"/>
              </w:rPr>
              <w:t xml:space="preserve">- </w:t>
            </w:r>
          </w:p>
        </w:tc>
      </w:tr>
      <w:tr w:rsidR="00A6354D" w:rsidRPr="00760411" w14:paraId="1EE21781" w14:textId="77777777" w:rsidTr="00760411">
        <w:trPr>
          <w:trHeight w:val="252"/>
        </w:trPr>
        <w:tc>
          <w:tcPr>
            <w:tcW w:w="4253" w:type="dxa"/>
            <w:tcBorders>
              <w:top w:val="nil"/>
              <w:left w:val="nil"/>
              <w:bottom w:val="nil"/>
              <w:right w:val="nil"/>
            </w:tcBorders>
            <w:shd w:val="clear" w:color="auto" w:fill="auto"/>
            <w:vAlign w:val="bottom"/>
            <w:hideMark/>
          </w:tcPr>
          <w:p w14:paraId="3BFEF9C9" w14:textId="72ED9C9F" w:rsidR="00A6354D" w:rsidRPr="00760411" w:rsidRDefault="00A6354D" w:rsidP="00A6354D">
            <w:pPr>
              <w:rPr>
                <w:color w:val="000000"/>
                <w:sz w:val="20"/>
                <w:szCs w:val="20"/>
              </w:rPr>
            </w:pPr>
            <w:r w:rsidRPr="00760411">
              <w:rPr>
                <w:color w:val="000000"/>
                <w:sz w:val="20"/>
                <w:szCs w:val="20"/>
              </w:rPr>
              <w:t xml:space="preserve">Equity component of convertible debentures (Note </w:t>
            </w:r>
            <w:r w:rsidR="00822DB4" w:rsidRPr="00760411">
              <w:rPr>
                <w:color w:val="000000"/>
                <w:sz w:val="20"/>
                <w:szCs w:val="20"/>
              </w:rPr>
              <w:t>10</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3FC17653"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7BE533FA"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bottom w:val="nil"/>
              <w:right w:val="nil"/>
            </w:tcBorders>
            <w:vAlign w:val="bottom"/>
          </w:tcPr>
          <w:p w14:paraId="26F423A4" w14:textId="1B19DD7B"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03CBA7F7" w14:textId="60869AF9"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36F753BF" w14:textId="5FEA3D18" w:rsidR="00A6354D" w:rsidRPr="00760411" w:rsidRDefault="00A6354D" w:rsidP="00A6354D">
            <w:pPr>
              <w:jc w:val="right"/>
              <w:rPr>
                <w:color w:val="000000"/>
                <w:sz w:val="20"/>
                <w:szCs w:val="20"/>
                <w:highlight w:val="yellow"/>
              </w:rPr>
            </w:pPr>
            <w:r w:rsidRPr="00760411">
              <w:rPr>
                <w:color w:val="000000"/>
                <w:sz w:val="20"/>
                <w:szCs w:val="20"/>
              </w:rPr>
              <w:t xml:space="preserve">9,511 </w:t>
            </w:r>
          </w:p>
        </w:tc>
        <w:tc>
          <w:tcPr>
            <w:tcW w:w="1372" w:type="dxa"/>
            <w:tcBorders>
              <w:top w:val="nil"/>
              <w:left w:val="nil"/>
              <w:bottom w:val="nil"/>
              <w:right w:val="nil"/>
            </w:tcBorders>
            <w:shd w:val="clear" w:color="auto" w:fill="auto"/>
            <w:vAlign w:val="bottom"/>
            <w:hideMark/>
          </w:tcPr>
          <w:p w14:paraId="495495E3" w14:textId="24DA6D84"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4D06F497" w14:textId="693E83F0" w:rsidR="00A6354D" w:rsidRPr="00760411" w:rsidRDefault="00A6354D" w:rsidP="00A6354D">
            <w:pPr>
              <w:jc w:val="right"/>
              <w:rPr>
                <w:color w:val="000000"/>
                <w:sz w:val="20"/>
                <w:szCs w:val="20"/>
                <w:highlight w:val="yellow"/>
              </w:rPr>
            </w:pPr>
            <w:r w:rsidRPr="00760411">
              <w:rPr>
                <w:color w:val="000000"/>
                <w:sz w:val="20"/>
                <w:szCs w:val="20"/>
              </w:rPr>
              <w:t xml:space="preserve">9,511 </w:t>
            </w:r>
          </w:p>
        </w:tc>
      </w:tr>
      <w:tr w:rsidR="00A6354D" w:rsidRPr="00760411" w14:paraId="6B2609E9" w14:textId="77777777" w:rsidTr="00760411">
        <w:trPr>
          <w:trHeight w:val="252"/>
        </w:trPr>
        <w:tc>
          <w:tcPr>
            <w:tcW w:w="4253" w:type="dxa"/>
            <w:tcBorders>
              <w:top w:val="nil"/>
              <w:left w:val="nil"/>
              <w:bottom w:val="nil"/>
              <w:right w:val="nil"/>
            </w:tcBorders>
            <w:shd w:val="clear" w:color="auto" w:fill="auto"/>
            <w:vAlign w:val="bottom"/>
            <w:hideMark/>
          </w:tcPr>
          <w:p w14:paraId="62AC70C0" w14:textId="4B627F93" w:rsidR="00A6354D" w:rsidRPr="00760411" w:rsidRDefault="00A6354D" w:rsidP="00A6354D">
            <w:pPr>
              <w:rPr>
                <w:color w:val="000000"/>
                <w:sz w:val="20"/>
                <w:szCs w:val="20"/>
              </w:rPr>
            </w:pPr>
            <w:r w:rsidRPr="00760411">
              <w:rPr>
                <w:color w:val="000000"/>
                <w:sz w:val="20"/>
                <w:szCs w:val="20"/>
              </w:rPr>
              <w:t xml:space="preserve">Convertible debenture redeemed (Note </w:t>
            </w:r>
            <w:r w:rsidR="00822DB4" w:rsidRPr="00760411">
              <w:rPr>
                <w:color w:val="000000"/>
                <w:sz w:val="20"/>
                <w:szCs w:val="20"/>
              </w:rPr>
              <w:t>10</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0C6E5B22"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00AAD19E"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bottom w:val="nil"/>
              <w:right w:val="nil"/>
            </w:tcBorders>
            <w:vAlign w:val="bottom"/>
          </w:tcPr>
          <w:p w14:paraId="5F38DE08" w14:textId="4A5267CA"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6BE000C6" w14:textId="7E174ED9"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0B8AA44E" w14:textId="729BE470" w:rsidR="00A6354D" w:rsidRPr="00760411" w:rsidRDefault="00A6354D" w:rsidP="00A6354D">
            <w:pPr>
              <w:jc w:val="right"/>
              <w:rPr>
                <w:color w:val="000000"/>
                <w:sz w:val="20"/>
                <w:szCs w:val="20"/>
                <w:highlight w:val="yellow"/>
              </w:rPr>
            </w:pPr>
            <w:r w:rsidRPr="00760411">
              <w:rPr>
                <w:color w:val="000000"/>
                <w:sz w:val="20"/>
                <w:szCs w:val="20"/>
              </w:rPr>
              <w:t>(5,945)</w:t>
            </w:r>
          </w:p>
        </w:tc>
        <w:tc>
          <w:tcPr>
            <w:tcW w:w="1372" w:type="dxa"/>
            <w:tcBorders>
              <w:top w:val="nil"/>
              <w:left w:val="nil"/>
              <w:bottom w:val="nil"/>
              <w:right w:val="nil"/>
            </w:tcBorders>
            <w:shd w:val="clear" w:color="auto" w:fill="auto"/>
            <w:vAlign w:val="bottom"/>
            <w:hideMark/>
          </w:tcPr>
          <w:p w14:paraId="60CE03A6" w14:textId="0E98FD87"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5A6EE3CD" w14:textId="44365CB4" w:rsidR="00A6354D" w:rsidRPr="00760411" w:rsidRDefault="00A6354D" w:rsidP="00A6354D">
            <w:pPr>
              <w:jc w:val="right"/>
              <w:rPr>
                <w:color w:val="000000"/>
                <w:sz w:val="20"/>
                <w:szCs w:val="20"/>
                <w:highlight w:val="yellow"/>
              </w:rPr>
            </w:pPr>
            <w:r w:rsidRPr="00760411">
              <w:rPr>
                <w:color w:val="000000"/>
                <w:sz w:val="20"/>
                <w:szCs w:val="20"/>
              </w:rPr>
              <w:t>(5,945)</w:t>
            </w:r>
          </w:p>
        </w:tc>
      </w:tr>
      <w:tr w:rsidR="00A6354D" w:rsidRPr="00760411" w14:paraId="10FDED36" w14:textId="77777777" w:rsidTr="00760411">
        <w:trPr>
          <w:trHeight w:val="252"/>
        </w:trPr>
        <w:tc>
          <w:tcPr>
            <w:tcW w:w="4253" w:type="dxa"/>
            <w:tcBorders>
              <w:top w:val="nil"/>
              <w:left w:val="nil"/>
              <w:bottom w:val="nil"/>
              <w:right w:val="nil"/>
            </w:tcBorders>
            <w:shd w:val="clear" w:color="auto" w:fill="auto"/>
            <w:vAlign w:val="bottom"/>
            <w:hideMark/>
          </w:tcPr>
          <w:p w14:paraId="2D5712B4" w14:textId="77777777" w:rsidR="00A6354D" w:rsidRPr="00760411" w:rsidRDefault="00A6354D" w:rsidP="00A6354D">
            <w:pPr>
              <w:rPr>
                <w:color w:val="000000"/>
                <w:sz w:val="20"/>
                <w:szCs w:val="20"/>
              </w:rPr>
            </w:pPr>
            <w:r w:rsidRPr="00760411">
              <w:rPr>
                <w:color w:val="000000"/>
                <w:sz w:val="20"/>
                <w:szCs w:val="20"/>
              </w:rPr>
              <w:t>Share-based payments</w:t>
            </w:r>
          </w:p>
        </w:tc>
        <w:tc>
          <w:tcPr>
            <w:tcW w:w="1554" w:type="dxa"/>
            <w:tcBorders>
              <w:top w:val="nil"/>
              <w:left w:val="nil"/>
              <w:bottom w:val="nil"/>
              <w:right w:val="nil"/>
            </w:tcBorders>
            <w:shd w:val="clear" w:color="auto" w:fill="auto"/>
            <w:vAlign w:val="bottom"/>
            <w:hideMark/>
          </w:tcPr>
          <w:p w14:paraId="00753BF7"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2C8A2B87"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bottom w:val="nil"/>
              <w:right w:val="nil"/>
            </w:tcBorders>
            <w:vAlign w:val="bottom"/>
          </w:tcPr>
          <w:p w14:paraId="4592A3F7" w14:textId="56647B63"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6C941739" w14:textId="07EDB703" w:rsidR="00A6354D" w:rsidRPr="00760411" w:rsidRDefault="00A6354D" w:rsidP="00A6354D">
            <w:pPr>
              <w:jc w:val="right"/>
              <w:rPr>
                <w:color w:val="000000"/>
                <w:sz w:val="20"/>
                <w:szCs w:val="20"/>
                <w:highlight w:val="yellow"/>
              </w:rPr>
            </w:pPr>
            <w:r w:rsidRPr="00760411">
              <w:rPr>
                <w:color w:val="000000"/>
                <w:sz w:val="20"/>
                <w:szCs w:val="20"/>
              </w:rPr>
              <w:t xml:space="preserve">59,888 </w:t>
            </w:r>
          </w:p>
        </w:tc>
        <w:tc>
          <w:tcPr>
            <w:tcW w:w="1388" w:type="dxa"/>
            <w:tcBorders>
              <w:top w:val="nil"/>
              <w:left w:val="nil"/>
              <w:bottom w:val="nil"/>
              <w:right w:val="nil"/>
            </w:tcBorders>
            <w:shd w:val="clear" w:color="auto" w:fill="auto"/>
            <w:vAlign w:val="bottom"/>
            <w:hideMark/>
          </w:tcPr>
          <w:p w14:paraId="084BDD25" w14:textId="4AD2249C"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616F9C98" w14:textId="15F3BAB9"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11D7705A" w14:textId="33A24CD3" w:rsidR="00A6354D" w:rsidRPr="00760411" w:rsidRDefault="00A6354D" w:rsidP="00A6354D">
            <w:pPr>
              <w:jc w:val="right"/>
              <w:rPr>
                <w:color w:val="000000"/>
                <w:sz w:val="20"/>
                <w:szCs w:val="20"/>
                <w:highlight w:val="yellow"/>
              </w:rPr>
            </w:pPr>
            <w:r w:rsidRPr="00760411">
              <w:rPr>
                <w:color w:val="000000"/>
                <w:sz w:val="20"/>
                <w:szCs w:val="20"/>
              </w:rPr>
              <w:t xml:space="preserve">59,888 </w:t>
            </w:r>
          </w:p>
        </w:tc>
      </w:tr>
      <w:tr w:rsidR="00A6354D" w:rsidRPr="00760411" w14:paraId="208CA50A" w14:textId="77777777" w:rsidTr="00760411">
        <w:trPr>
          <w:trHeight w:val="252"/>
        </w:trPr>
        <w:tc>
          <w:tcPr>
            <w:tcW w:w="4253" w:type="dxa"/>
            <w:tcBorders>
              <w:top w:val="nil"/>
              <w:left w:val="nil"/>
              <w:bottom w:val="single" w:sz="4" w:space="0" w:color="auto"/>
              <w:right w:val="nil"/>
            </w:tcBorders>
            <w:shd w:val="clear" w:color="auto" w:fill="auto"/>
            <w:vAlign w:val="bottom"/>
            <w:hideMark/>
          </w:tcPr>
          <w:p w14:paraId="7881F326" w14:textId="77777777" w:rsidR="00A6354D" w:rsidRPr="00760411" w:rsidRDefault="00A6354D" w:rsidP="00A6354D">
            <w:pPr>
              <w:rPr>
                <w:color w:val="000000"/>
                <w:sz w:val="20"/>
                <w:szCs w:val="20"/>
              </w:rPr>
            </w:pPr>
            <w:r w:rsidRPr="00760411">
              <w:rPr>
                <w:color w:val="000000"/>
                <w:sz w:val="20"/>
                <w:szCs w:val="20"/>
              </w:rPr>
              <w:t>Net loss for the period</w:t>
            </w:r>
          </w:p>
        </w:tc>
        <w:tc>
          <w:tcPr>
            <w:tcW w:w="1554" w:type="dxa"/>
            <w:tcBorders>
              <w:top w:val="nil"/>
              <w:left w:val="nil"/>
              <w:bottom w:val="single" w:sz="4" w:space="0" w:color="auto"/>
              <w:right w:val="nil"/>
            </w:tcBorders>
            <w:shd w:val="clear" w:color="auto" w:fill="auto"/>
            <w:vAlign w:val="bottom"/>
            <w:hideMark/>
          </w:tcPr>
          <w:p w14:paraId="2C5A0466"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single" w:sz="4" w:space="0" w:color="auto"/>
              <w:right w:val="nil"/>
            </w:tcBorders>
            <w:shd w:val="clear" w:color="auto" w:fill="auto"/>
            <w:vAlign w:val="bottom"/>
            <w:hideMark/>
          </w:tcPr>
          <w:p w14:paraId="14677FD2"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bottom w:val="single" w:sz="4" w:space="0" w:color="auto"/>
              <w:right w:val="nil"/>
            </w:tcBorders>
            <w:vAlign w:val="bottom"/>
          </w:tcPr>
          <w:p w14:paraId="23186140" w14:textId="67DE57FC"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single" w:sz="4" w:space="0" w:color="auto"/>
              <w:right w:val="nil"/>
            </w:tcBorders>
            <w:shd w:val="clear" w:color="auto" w:fill="auto"/>
            <w:vAlign w:val="bottom"/>
            <w:hideMark/>
          </w:tcPr>
          <w:p w14:paraId="36B4B15A" w14:textId="52C678E2"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single" w:sz="4" w:space="0" w:color="auto"/>
              <w:right w:val="nil"/>
            </w:tcBorders>
            <w:shd w:val="clear" w:color="auto" w:fill="auto"/>
            <w:vAlign w:val="bottom"/>
            <w:hideMark/>
          </w:tcPr>
          <w:p w14:paraId="4D04979F" w14:textId="360CE031"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single" w:sz="4" w:space="0" w:color="auto"/>
              <w:right w:val="nil"/>
            </w:tcBorders>
            <w:shd w:val="clear" w:color="auto" w:fill="auto"/>
            <w:vAlign w:val="bottom"/>
            <w:hideMark/>
          </w:tcPr>
          <w:p w14:paraId="44398501" w14:textId="00688756" w:rsidR="00A6354D" w:rsidRPr="00760411" w:rsidRDefault="00A6354D" w:rsidP="00A6354D">
            <w:pPr>
              <w:jc w:val="right"/>
              <w:rPr>
                <w:color w:val="000000"/>
                <w:sz w:val="20"/>
                <w:szCs w:val="20"/>
                <w:highlight w:val="yellow"/>
              </w:rPr>
            </w:pPr>
            <w:r w:rsidRPr="00760411">
              <w:rPr>
                <w:color w:val="000000"/>
                <w:sz w:val="20"/>
                <w:szCs w:val="20"/>
              </w:rPr>
              <w:t>(2,000,046)</w:t>
            </w:r>
          </w:p>
        </w:tc>
        <w:tc>
          <w:tcPr>
            <w:tcW w:w="1167" w:type="dxa"/>
            <w:tcBorders>
              <w:top w:val="nil"/>
              <w:left w:val="nil"/>
              <w:bottom w:val="single" w:sz="4" w:space="0" w:color="auto"/>
              <w:right w:val="nil"/>
            </w:tcBorders>
            <w:shd w:val="clear" w:color="auto" w:fill="auto"/>
            <w:vAlign w:val="bottom"/>
            <w:hideMark/>
          </w:tcPr>
          <w:p w14:paraId="6DB053D3" w14:textId="25982C53" w:rsidR="00A6354D" w:rsidRPr="00760411" w:rsidRDefault="00A6354D" w:rsidP="00A6354D">
            <w:pPr>
              <w:jc w:val="right"/>
              <w:rPr>
                <w:color w:val="000000"/>
                <w:sz w:val="20"/>
                <w:szCs w:val="20"/>
                <w:highlight w:val="yellow"/>
              </w:rPr>
            </w:pPr>
            <w:r w:rsidRPr="00760411">
              <w:rPr>
                <w:color w:val="000000"/>
                <w:sz w:val="20"/>
                <w:szCs w:val="20"/>
              </w:rPr>
              <w:t>(2,000,046)</w:t>
            </w:r>
          </w:p>
        </w:tc>
      </w:tr>
      <w:tr w:rsidR="00A6354D" w:rsidRPr="00760411" w14:paraId="68E1B5CD" w14:textId="77777777" w:rsidTr="00760411">
        <w:trPr>
          <w:trHeight w:val="252"/>
        </w:trPr>
        <w:tc>
          <w:tcPr>
            <w:tcW w:w="4253" w:type="dxa"/>
            <w:tcBorders>
              <w:top w:val="single" w:sz="4" w:space="0" w:color="auto"/>
              <w:left w:val="nil"/>
              <w:right w:val="nil"/>
            </w:tcBorders>
            <w:shd w:val="clear" w:color="auto" w:fill="auto"/>
            <w:vAlign w:val="bottom"/>
            <w:hideMark/>
          </w:tcPr>
          <w:p w14:paraId="6F38D672" w14:textId="77777777" w:rsidR="00A6354D" w:rsidRPr="00760411" w:rsidRDefault="00A6354D" w:rsidP="00A6354D">
            <w:pPr>
              <w:rPr>
                <w:b/>
                <w:bCs/>
                <w:color w:val="000000"/>
                <w:sz w:val="20"/>
                <w:szCs w:val="20"/>
              </w:rPr>
            </w:pPr>
            <w:r w:rsidRPr="00760411">
              <w:rPr>
                <w:b/>
                <w:bCs/>
                <w:color w:val="000000"/>
                <w:sz w:val="20"/>
                <w:szCs w:val="20"/>
              </w:rPr>
              <w:t>Balance, December 31, 2020</w:t>
            </w:r>
          </w:p>
        </w:tc>
        <w:tc>
          <w:tcPr>
            <w:tcW w:w="1554" w:type="dxa"/>
            <w:tcBorders>
              <w:top w:val="single" w:sz="4" w:space="0" w:color="auto"/>
              <w:left w:val="nil"/>
              <w:right w:val="nil"/>
            </w:tcBorders>
            <w:shd w:val="clear" w:color="auto" w:fill="auto"/>
            <w:vAlign w:val="bottom"/>
            <w:hideMark/>
          </w:tcPr>
          <w:p w14:paraId="7287B50B" w14:textId="77777777" w:rsidR="00A6354D" w:rsidRPr="00760411" w:rsidRDefault="00A6354D" w:rsidP="00A6354D">
            <w:pPr>
              <w:jc w:val="right"/>
              <w:rPr>
                <w:color w:val="000000"/>
                <w:sz w:val="20"/>
                <w:szCs w:val="20"/>
              </w:rPr>
            </w:pPr>
            <w:r w:rsidRPr="00760411">
              <w:rPr>
                <w:color w:val="000000"/>
                <w:sz w:val="20"/>
                <w:szCs w:val="20"/>
              </w:rPr>
              <w:t xml:space="preserve">71,696,497 </w:t>
            </w:r>
          </w:p>
        </w:tc>
        <w:tc>
          <w:tcPr>
            <w:tcW w:w="1135" w:type="dxa"/>
            <w:tcBorders>
              <w:top w:val="single" w:sz="4" w:space="0" w:color="auto"/>
              <w:left w:val="nil"/>
              <w:right w:val="nil"/>
            </w:tcBorders>
            <w:shd w:val="clear" w:color="auto" w:fill="auto"/>
            <w:vAlign w:val="bottom"/>
            <w:hideMark/>
          </w:tcPr>
          <w:p w14:paraId="5B395AE9" w14:textId="77777777" w:rsidR="00A6354D" w:rsidRPr="00760411" w:rsidRDefault="00A6354D" w:rsidP="00A6354D">
            <w:pPr>
              <w:jc w:val="right"/>
              <w:rPr>
                <w:color w:val="000000"/>
                <w:sz w:val="20"/>
                <w:szCs w:val="20"/>
              </w:rPr>
            </w:pPr>
            <w:r w:rsidRPr="00760411">
              <w:rPr>
                <w:color w:val="000000"/>
                <w:sz w:val="20"/>
                <w:szCs w:val="20"/>
              </w:rPr>
              <w:t xml:space="preserve">8,480,151 </w:t>
            </w:r>
          </w:p>
        </w:tc>
        <w:tc>
          <w:tcPr>
            <w:tcW w:w="1172" w:type="dxa"/>
            <w:tcBorders>
              <w:top w:val="single" w:sz="4" w:space="0" w:color="auto"/>
              <w:left w:val="nil"/>
              <w:right w:val="nil"/>
            </w:tcBorders>
            <w:vAlign w:val="bottom"/>
          </w:tcPr>
          <w:p w14:paraId="61319224" w14:textId="57E24246"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single" w:sz="4" w:space="0" w:color="auto"/>
              <w:left w:val="nil"/>
              <w:right w:val="nil"/>
            </w:tcBorders>
            <w:shd w:val="clear" w:color="auto" w:fill="auto"/>
            <w:vAlign w:val="bottom"/>
            <w:hideMark/>
          </w:tcPr>
          <w:p w14:paraId="300B44B8" w14:textId="28E7D70B" w:rsidR="00A6354D" w:rsidRPr="00760411" w:rsidRDefault="00A6354D" w:rsidP="00A6354D">
            <w:pPr>
              <w:jc w:val="right"/>
              <w:rPr>
                <w:color w:val="000000"/>
                <w:sz w:val="20"/>
                <w:szCs w:val="20"/>
              </w:rPr>
            </w:pPr>
            <w:r w:rsidRPr="00760411">
              <w:rPr>
                <w:color w:val="000000"/>
                <w:sz w:val="20"/>
                <w:szCs w:val="20"/>
              </w:rPr>
              <w:t xml:space="preserve">542,565 </w:t>
            </w:r>
          </w:p>
        </w:tc>
        <w:tc>
          <w:tcPr>
            <w:tcW w:w="1388" w:type="dxa"/>
            <w:tcBorders>
              <w:top w:val="single" w:sz="4" w:space="0" w:color="auto"/>
              <w:left w:val="nil"/>
              <w:right w:val="nil"/>
            </w:tcBorders>
            <w:shd w:val="clear" w:color="auto" w:fill="auto"/>
            <w:vAlign w:val="bottom"/>
            <w:hideMark/>
          </w:tcPr>
          <w:p w14:paraId="3B58203C" w14:textId="77777777" w:rsidR="00A6354D" w:rsidRPr="00760411" w:rsidRDefault="00A6354D" w:rsidP="00A6354D">
            <w:pPr>
              <w:jc w:val="right"/>
              <w:rPr>
                <w:color w:val="000000"/>
                <w:sz w:val="20"/>
                <w:szCs w:val="20"/>
              </w:rPr>
            </w:pPr>
            <w:r w:rsidRPr="00760411">
              <w:rPr>
                <w:color w:val="000000"/>
                <w:sz w:val="20"/>
                <w:szCs w:val="20"/>
              </w:rPr>
              <w:t xml:space="preserve">27,347 </w:t>
            </w:r>
          </w:p>
        </w:tc>
        <w:tc>
          <w:tcPr>
            <w:tcW w:w="1372" w:type="dxa"/>
            <w:tcBorders>
              <w:top w:val="single" w:sz="4" w:space="0" w:color="auto"/>
              <w:left w:val="nil"/>
              <w:right w:val="nil"/>
            </w:tcBorders>
            <w:shd w:val="clear" w:color="auto" w:fill="auto"/>
            <w:vAlign w:val="bottom"/>
            <w:hideMark/>
          </w:tcPr>
          <w:p w14:paraId="3ED96C06" w14:textId="77777777" w:rsidR="00A6354D" w:rsidRPr="00760411" w:rsidRDefault="00A6354D" w:rsidP="00A6354D">
            <w:pPr>
              <w:jc w:val="right"/>
              <w:rPr>
                <w:color w:val="000000"/>
                <w:sz w:val="20"/>
                <w:szCs w:val="20"/>
              </w:rPr>
            </w:pPr>
            <w:r w:rsidRPr="00760411">
              <w:rPr>
                <w:color w:val="000000"/>
                <w:sz w:val="20"/>
                <w:szCs w:val="20"/>
              </w:rPr>
              <w:t>(11,237,964)</w:t>
            </w:r>
          </w:p>
        </w:tc>
        <w:tc>
          <w:tcPr>
            <w:tcW w:w="1167" w:type="dxa"/>
            <w:tcBorders>
              <w:top w:val="single" w:sz="4" w:space="0" w:color="auto"/>
              <w:left w:val="nil"/>
              <w:right w:val="nil"/>
            </w:tcBorders>
            <w:shd w:val="clear" w:color="auto" w:fill="auto"/>
            <w:vAlign w:val="bottom"/>
            <w:hideMark/>
          </w:tcPr>
          <w:p w14:paraId="3611EDEF" w14:textId="77777777" w:rsidR="00A6354D" w:rsidRPr="00760411" w:rsidRDefault="00A6354D" w:rsidP="00A6354D">
            <w:pPr>
              <w:jc w:val="right"/>
              <w:rPr>
                <w:color w:val="000000"/>
                <w:sz w:val="20"/>
                <w:szCs w:val="20"/>
              </w:rPr>
            </w:pPr>
            <w:r w:rsidRPr="00760411">
              <w:rPr>
                <w:color w:val="000000"/>
                <w:sz w:val="20"/>
                <w:szCs w:val="20"/>
              </w:rPr>
              <w:t>(2,187,901)</w:t>
            </w:r>
          </w:p>
        </w:tc>
      </w:tr>
      <w:tr w:rsidR="00A6354D" w:rsidRPr="00760411" w14:paraId="764D3D66" w14:textId="77777777" w:rsidTr="00760411">
        <w:trPr>
          <w:trHeight w:val="252"/>
        </w:trPr>
        <w:tc>
          <w:tcPr>
            <w:tcW w:w="4253" w:type="dxa"/>
            <w:tcBorders>
              <w:top w:val="nil"/>
              <w:left w:val="nil"/>
              <w:bottom w:val="nil"/>
              <w:right w:val="nil"/>
            </w:tcBorders>
            <w:shd w:val="clear" w:color="auto" w:fill="auto"/>
            <w:vAlign w:val="bottom"/>
            <w:hideMark/>
          </w:tcPr>
          <w:p w14:paraId="31852469" w14:textId="4E5483C8" w:rsidR="00A6354D" w:rsidRPr="00760411" w:rsidRDefault="00A6354D" w:rsidP="00A6354D">
            <w:pPr>
              <w:rPr>
                <w:color w:val="000000"/>
                <w:sz w:val="20"/>
                <w:szCs w:val="20"/>
              </w:rPr>
            </w:pPr>
            <w:r w:rsidRPr="00760411">
              <w:rPr>
                <w:color w:val="000000"/>
                <w:sz w:val="20"/>
                <w:szCs w:val="20"/>
              </w:rPr>
              <w:t>Shares issued under RSU plan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5BD2984D" w14:textId="3B82902C" w:rsidR="00A6354D" w:rsidRPr="00760411" w:rsidRDefault="00A6354D" w:rsidP="00A6354D">
            <w:pPr>
              <w:jc w:val="right"/>
              <w:rPr>
                <w:color w:val="000000"/>
                <w:sz w:val="20"/>
                <w:szCs w:val="20"/>
              </w:rPr>
            </w:pPr>
            <w:r w:rsidRPr="00760411">
              <w:rPr>
                <w:color w:val="000000"/>
                <w:sz w:val="20"/>
                <w:szCs w:val="20"/>
              </w:rPr>
              <w:t xml:space="preserve">25,000 </w:t>
            </w:r>
          </w:p>
        </w:tc>
        <w:tc>
          <w:tcPr>
            <w:tcW w:w="1135" w:type="dxa"/>
            <w:tcBorders>
              <w:top w:val="nil"/>
              <w:left w:val="nil"/>
              <w:bottom w:val="nil"/>
              <w:right w:val="nil"/>
            </w:tcBorders>
            <w:shd w:val="clear" w:color="auto" w:fill="auto"/>
            <w:vAlign w:val="bottom"/>
            <w:hideMark/>
          </w:tcPr>
          <w:p w14:paraId="392998BE" w14:textId="42BCA22E" w:rsidR="00A6354D" w:rsidRPr="00760411" w:rsidRDefault="00A6354D" w:rsidP="00A6354D">
            <w:pPr>
              <w:jc w:val="right"/>
              <w:rPr>
                <w:color w:val="000000"/>
                <w:sz w:val="20"/>
                <w:szCs w:val="20"/>
              </w:rPr>
            </w:pPr>
            <w:r w:rsidRPr="00760411">
              <w:rPr>
                <w:color w:val="000000"/>
                <w:sz w:val="20"/>
                <w:szCs w:val="20"/>
              </w:rPr>
              <w:t xml:space="preserve">4,125 </w:t>
            </w:r>
          </w:p>
        </w:tc>
        <w:tc>
          <w:tcPr>
            <w:tcW w:w="1172" w:type="dxa"/>
            <w:tcBorders>
              <w:top w:val="nil"/>
              <w:left w:val="nil"/>
              <w:bottom w:val="nil"/>
              <w:right w:val="nil"/>
            </w:tcBorders>
            <w:vAlign w:val="bottom"/>
          </w:tcPr>
          <w:p w14:paraId="5BC70C17" w14:textId="1A98084D"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0BD5718A" w14:textId="7E9B09D6" w:rsidR="00A6354D" w:rsidRPr="00760411" w:rsidRDefault="00A6354D" w:rsidP="00A6354D">
            <w:pPr>
              <w:jc w:val="right"/>
              <w:rPr>
                <w:color w:val="000000"/>
                <w:sz w:val="20"/>
                <w:szCs w:val="20"/>
                <w:highlight w:val="yellow"/>
              </w:rPr>
            </w:pPr>
            <w:r w:rsidRPr="00760411">
              <w:rPr>
                <w:color w:val="000000"/>
                <w:sz w:val="20"/>
                <w:szCs w:val="20"/>
              </w:rPr>
              <w:t>(4,125)</w:t>
            </w:r>
          </w:p>
        </w:tc>
        <w:tc>
          <w:tcPr>
            <w:tcW w:w="1388" w:type="dxa"/>
            <w:tcBorders>
              <w:top w:val="nil"/>
              <w:left w:val="nil"/>
              <w:bottom w:val="nil"/>
              <w:right w:val="nil"/>
            </w:tcBorders>
            <w:shd w:val="clear" w:color="auto" w:fill="auto"/>
            <w:vAlign w:val="bottom"/>
            <w:hideMark/>
          </w:tcPr>
          <w:p w14:paraId="16717DAC" w14:textId="77777777"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1AEEEE5A" w14:textId="77777777" w:rsidR="00A6354D" w:rsidRPr="00760411" w:rsidRDefault="00A6354D" w:rsidP="00A6354D">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5B3AB561" w14:textId="77777777" w:rsidR="00A6354D" w:rsidRPr="00760411" w:rsidRDefault="00A6354D" w:rsidP="00A6354D">
            <w:pPr>
              <w:jc w:val="right"/>
              <w:rPr>
                <w:color w:val="000000"/>
                <w:sz w:val="20"/>
                <w:szCs w:val="20"/>
                <w:highlight w:val="yellow"/>
              </w:rPr>
            </w:pPr>
            <w:r w:rsidRPr="00760411">
              <w:rPr>
                <w:color w:val="000000"/>
                <w:sz w:val="20"/>
                <w:szCs w:val="20"/>
              </w:rPr>
              <w:t xml:space="preserve">- </w:t>
            </w:r>
          </w:p>
        </w:tc>
      </w:tr>
      <w:tr w:rsidR="00A6354D" w:rsidRPr="00760411" w14:paraId="14CA863A" w14:textId="77777777" w:rsidTr="00760411">
        <w:trPr>
          <w:trHeight w:val="252"/>
        </w:trPr>
        <w:tc>
          <w:tcPr>
            <w:tcW w:w="4253" w:type="dxa"/>
            <w:tcBorders>
              <w:top w:val="nil"/>
              <w:left w:val="nil"/>
              <w:bottom w:val="nil"/>
              <w:right w:val="nil"/>
            </w:tcBorders>
            <w:shd w:val="clear" w:color="auto" w:fill="auto"/>
            <w:vAlign w:val="bottom"/>
            <w:hideMark/>
          </w:tcPr>
          <w:p w14:paraId="07E33775" w14:textId="750ED446" w:rsidR="00A6354D" w:rsidRPr="00760411" w:rsidRDefault="00A6354D" w:rsidP="00A6354D">
            <w:pPr>
              <w:rPr>
                <w:color w:val="000000"/>
                <w:sz w:val="20"/>
                <w:szCs w:val="20"/>
              </w:rPr>
            </w:pPr>
            <w:r w:rsidRPr="00760411">
              <w:rPr>
                <w:color w:val="000000"/>
                <w:sz w:val="20"/>
                <w:szCs w:val="20"/>
              </w:rPr>
              <w:t>Shares issued for private placement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32D32C0B" w14:textId="77777777" w:rsidR="00A6354D" w:rsidRPr="00760411" w:rsidRDefault="00A6354D" w:rsidP="00A6354D">
            <w:pPr>
              <w:jc w:val="right"/>
              <w:rPr>
                <w:color w:val="000000"/>
                <w:sz w:val="20"/>
                <w:szCs w:val="20"/>
              </w:rPr>
            </w:pPr>
            <w:r w:rsidRPr="00760411">
              <w:rPr>
                <w:color w:val="000000"/>
                <w:sz w:val="20"/>
                <w:szCs w:val="20"/>
              </w:rPr>
              <w:t xml:space="preserve">4,333,334 </w:t>
            </w:r>
          </w:p>
        </w:tc>
        <w:tc>
          <w:tcPr>
            <w:tcW w:w="1135" w:type="dxa"/>
            <w:tcBorders>
              <w:top w:val="nil"/>
              <w:left w:val="nil"/>
              <w:bottom w:val="nil"/>
              <w:right w:val="nil"/>
            </w:tcBorders>
            <w:shd w:val="clear" w:color="auto" w:fill="auto"/>
            <w:vAlign w:val="bottom"/>
            <w:hideMark/>
          </w:tcPr>
          <w:p w14:paraId="6A4D5FBC" w14:textId="77777777" w:rsidR="00A6354D" w:rsidRPr="00760411" w:rsidRDefault="00A6354D" w:rsidP="00A6354D">
            <w:pPr>
              <w:jc w:val="right"/>
              <w:rPr>
                <w:color w:val="000000"/>
                <w:sz w:val="20"/>
                <w:szCs w:val="20"/>
              </w:rPr>
            </w:pPr>
            <w:r w:rsidRPr="00760411">
              <w:rPr>
                <w:color w:val="000000"/>
                <w:sz w:val="20"/>
                <w:szCs w:val="20"/>
              </w:rPr>
              <w:t xml:space="preserve">1,200,000 </w:t>
            </w:r>
          </w:p>
        </w:tc>
        <w:tc>
          <w:tcPr>
            <w:tcW w:w="1172" w:type="dxa"/>
            <w:tcBorders>
              <w:top w:val="nil"/>
              <w:left w:val="nil"/>
              <w:bottom w:val="nil"/>
              <w:right w:val="nil"/>
            </w:tcBorders>
            <w:vAlign w:val="bottom"/>
          </w:tcPr>
          <w:p w14:paraId="1F0EE848" w14:textId="5583393A"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0A9CA8E7" w14:textId="2AC9E97B"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37085ABE"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568E0709"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21B0C035" w14:textId="5E1AC00C" w:rsidR="00A6354D" w:rsidRPr="00760411" w:rsidRDefault="00A6354D" w:rsidP="00A6354D">
            <w:pPr>
              <w:jc w:val="right"/>
              <w:rPr>
                <w:color w:val="000000"/>
                <w:sz w:val="20"/>
                <w:szCs w:val="20"/>
              </w:rPr>
            </w:pPr>
            <w:r w:rsidRPr="00760411">
              <w:rPr>
                <w:color w:val="000000"/>
                <w:sz w:val="20"/>
                <w:szCs w:val="20"/>
              </w:rPr>
              <w:t xml:space="preserve">1,200,000 </w:t>
            </w:r>
          </w:p>
        </w:tc>
      </w:tr>
      <w:tr w:rsidR="00A6354D" w:rsidRPr="00760411" w14:paraId="6939D766" w14:textId="77777777" w:rsidTr="00760411">
        <w:trPr>
          <w:trHeight w:val="252"/>
        </w:trPr>
        <w:tc>
          <w:tcPr>
            <w:tcW w:w="4253" w:type="dxa"/>
            <w:tcBorders>
              <w:top w:val="nil"/>
              <w:left w:val="nil"/>
              <w:bottom w:val="nil"/>
              <w:right w:val="nil"/>
            </w:tcBorders>
            <w:shd w:val="clear" w:color="auto" w:fill="auto"/>
            <w:vAlign w:val="bottom"/>
            <w:hideMark/>
          </w:tcPr>
          <w:p w14:paraId="388C11CC" w14:textId="755B817E" w:rsidR="00A6354D" w:rsidRPr="00760411" w:rsidRDefault="00A6354D" w:rsidP="00A6354D">
            <w:pPr>
              <w:rPr>
                <w:color w:val="000000"/>
                <w:sz w:val="20"/>
                <w:szCs w:val="20"/>
              </w:rPr>
            </w:pPr>
            <w:r w:rsidRPr="00760411">
              <w:rPr>
                <w:color w:val="000000"/>
                <w:sz w:val="20"/>
                <w:szCs w:val="20"/>
              </w:rPr>
              <w:t>Private placement costs – cash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709397D2"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693455E3" w14:textId="77777777" w:rsidR="00A6354D" w:rsidRPr="00760411" w:rsidRDefault="00A6354D" w:rsidP="00A6354D">
            <w:pPr>
              <w:jc w:val="right"/>
              <w:rPr>
                <w:color w:val="000000"/>
                <w:sz w:val="20"/>
                <w:szCs w:val="20"/>
              </w:rPr>
            </w:pPr>
            <w:r w:rsidRPr="00760411">
              <w:rPr>
                <w:color w:val="000000"/>
                <w:sz w:val="20"/>
                <w:szCs w:val="20"/>
              </w:rPr>
              <w:t>(6,300)</w:t>
            </w:r>
          </w:p>
        </w:tc>
        <w:tc>
          <w:tcPr>
            <w:tcW w:w="1172" w:type="dxa"/>
            <w:tcBorders>
              <w:top w:val="nil"/>
              <w:left w:val="nil"/>
              <w:bottom w:val="nil"/>
              <w:right w:val="nil"/>
            </w:tcBorders>
            <w:vAlign w:val="bottom"/>
          </w:tcPr>
          <w:p w14:paraId="3FBFB65A" w14:textId="26375C4F" w:rsidR="00A6354D" w:rsidRPr="00760411" w:rsidRDefault="00A6354D" w:rsidP="00A6354D">
            <w:pPr>
              <w:ind w:left="-190"/>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1B603D2E" w14:textId="30DA3F6B" w:rsidR="00A6354D" w:rsidRPr="00760411" w:rsidRDefault="00A6354D" w:rsidP="00A6354D">
            <w:pPr>
              <w:ind w:left="-190"/>
              <w:jc w:val="right"/>
              <w:rPr>
                <w:color w:val="000000"/>
                <w:sz w:val="20"/>
                <w:szCs w:val="20"/>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5617BD70"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67CB6693"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012AFD08" w14:textId="77777777" w:rsidR="00A6354D" w:rsidRPr="00760411" w:rsidRDefault="00A6354D" w:rsidP="00A6354D">
            <w:pPr>
              <w:jc w:val="right"/>
              <w:rPr>
                <w:color w:val="000000"/>
                <w:sz w:val="20"/>
                <w:szCs w:val="20"/>
              </w:rPr>
            </w:pPr>
            <w:r w:rsidRPr="00760411">
              <w:rPr>
                <w:color w:val="000000"/>
                <w:sz w:val="20"/>
                <w:szCs w:val="20"/>
              </w:rPr>
              <w:t>(6,300)</w:t>
            </w:r>
          </w:p>
        </w:tc>
      </w:tr>
      <w:tr w:rsidR="00A6354D" w:rsidRPr="00760411" w14:paraId="7B8257C8" w14:textId="77777777" w:rsidTr="00760411">
        <w:trPr>
          <w:trHeight w:val="252"/>
        </w:trPr>
        <w:tc>
          <w:tcPr>
            <w:tcW w:w="4253" w:type="dxa"/>
            <w:tcBorders>
              <w:top w:val="nil"/>
              <w:left w:val="nil"/>
              <w:bottom w:val="nil"/>
              <w:right w:val="nil"/>
            </w:tcBorders>
            <w:shd w:val="clear" w:color="auto" w:fill="auto"/>
            <w:vAlign w:val="bottom"/>
            <w:hideMark/>
          </w:tcPr>
          <w:p w14:paraId="6B09466F" w14:textId="633CFBF3" w:rsidR="00A6354D" w:rsidRPr="00760411" w:rsidRDefault="00A6354D" w:rsidP="00A6354D">
            <w:pPr>
              <w:rPr>
                <w:color w:val="000000"/>
                <w:sz w:val="20"/>
                <w:szCs w:val="20"/>
              </w:rPr>
            </w:pPr>
            <w:r w:rsidRPr="00760411">
              <w:rPr>
                <w:color w:val="000000"/>
                <w:sz w:val="20"/>
                <w:szCs w:val="20"/>
              </w:rPr>
              <w:t xml:space="preserve">Convertible debenture redeemed (Note </w:t>
            </w:r>
            <w:r w:rsidR="00822DB4" w:rsidRPr="00760411">
              <w:rPr>
                <w:color w:val="000000"/>
                <w:sz w:val="20"/>
                <w:szCs w:val="20"/>
              </w:rPr>
              <w:t>10</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5DE00895" w14:textId="77777777" w:rsidR="00A6354D" w:rsidRPr="00760411" w:rsidRDefault="00A6354D" w:rsidP="00A6354D">
            <w:pPr>
              <w:jc w:val="right"/>
              <w:rPr>
                <w:color w:val="000000"/>
                <w:sz w:val="20"/>
                <w:szCs w:val="20"/>
              </w:rPr>
            </w:pPr>
            <w:r w:rsidRPr="00760411">
              <w:rPr>
                <w:color w:val="000000"/>
                <w:sz w:val="20"/>
                <w:szCs w:val="20"/>
              </w:rPr>
              <w:t xml:space="preserve">1,533,333 </w:t>
            </w:r>
          </w:p>
        </w:tc>
        <w:tc>
          <w:tcPr>
            <w:tcW w:w="1135" w:type="dxa"/>
            <w:tcBorders>
              <w:top w:val="nil"/>
              <w:left w:val="nil"/>
              <w:bottom w:val="nil"/>
              <w:right w:val="nil"/>
            </w:tcBorders>
            <w:shd w:val="clear" w:color="auto" w:fill="auto"/>
            <w:vAlign w:val="bottom"/>
            <w:hideMark/>
          </w:tcPr>
          <w:p w14:paraId="76B62A7F" w14:textId="77777777" w:rsidR="00A6354D" w:rsidRPr="00760411" w:rsidRDefault="00A6354D" w:rsidP="00A6354D">
            <w:pPr>
              <w:jc w:val="right"/>
              <w:rPr>
                <w:color w:val="000000"/>
                <w:sz w:val="20"/>
                <w:szCs w:val="20"/>
              </w:rPr>
            </w:pPr>
            <w:r w:rsidRPr="00760411">
              <w:rPr>
                <w:color w:val="000000"/>
                <w:sz w:val="20"/>
                <w:szCs w:val="20"/>
              </w:rPr>
              <w:t xml:space="preserve">521,333 </w:t>
            </w:r>
          </w:p>
        </w:tc>
        <w:tc>
          <w:tcPr>
            <w:tcW w:w="1172" w:type="dxa"/>
            <w:tcBorders>
              <w:top w:val="nil"/>
              <w:left w:val="nil"/>
              <w:bottom w:val="nil"/>
              <w:right w:val="nil"/>
            </w:tcBorders>
            <w:vAlign w:val="bottom"/>
          </w:tcPr>
          <w:p w14:paraId="54E812AD" w14:textId="34DD0E4E"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3C693AA3" w14:textId="27647BA4"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2BFB4101" w14:textId="77777777" w:rsidR="00A6354D" w:rsidRPr="00760411" w:rsidRDefault="00A6354D" w:rsidP="00A6354D">
            <w:pPr>
              <w:jc w:val="right"/>
              <w:rPr>
                <w:color w:val="000000"/>
                <w:sz w:val="20"/>
                <w:szCs w:val="20"/>
              </w:rPr>
            </w:pPr>
            <w:r w:rsidRPr="00760411">
              <w:rPr>
                <w:color w:val="000000"/>
                <w:sz w:val="20"/>
                <w:szCs w:val="20"/>
              </w:rPr>
              <w:t>(27,347)</w:t>
            </w:r>
          </w:p>
        </w:tc>
        <w:tc>
          <w:tcPr>
            <w:tcW w:w="1372" w:type="dxa"/>
            <w:tcBorders>
              <w:top w:val="nil"/>
              <w:left w:val="nil"/>
              <w:bottom w:val="nil"/>
              <w:right w:val="nil"/>
            </w:tcBorders>
            <w:shd w:val="clear" w:color="auto" w:fill="auto"/>
            <w:vAlign w:val="bottom"/>
            <w:hideMark/>
          </w:tcPr>
          <w:p w14:paraId="60F98945"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601407F6" w14:textId="77777777" w:rsidR="00A6354D" w:rsidRPr="00760411" w:rsidRDefault="00A6354D" w:rsidP="00A6354D">
            <w:pPr>
              <w:jc w:val="right"/>
              <w:rPr>
                <w:color w:val="000000"/>
                <w:sz w:val="20"/>
                <w:szCs w:val="20"/>
              </w:rPr>
            </w:pPr>
            <w:r w:rsidRPr="00760411">
              <w:rPr>
                <w:color w:val="000000"/>
                <w:sz w:val="20"/>
                <w:szCs w:val="20"/>
              </w:rPr>
              <w:t xml:space="preserve">493,986 </w:t>
            </w:r>
          </w:p>
        </w:tc>
      </w:tr>
      <w:tr w:rsidR="00A6354D" w:rsidRPr="00760411" w14:paraId="1F410922" w14:textId="77777777" w:rsidTr="00760411">
        <w:trPr>
          <w:trHeight w:val="252"/>
        </w:trPr>
        <w:tc>
          <w:tcPr>
            <w:tcW w:w="4253" w:type="dxa"/>
            <w:tcBorders>
              <w:top w:val="nil"/>
              <w:left w:val="nil"/>
              <w:bottom w:val="nil"/>
              <w:right w:val="nil"/>
            </w:tcBorders>
            <w:shd w:val="clear" w:color="auto" w:fill="auto"/>
            <w:vAlign w:val="bottom"/>
            <w:hideMark/>
          </w:tcPr>
          <w:p w14:paraId="526E97AE" w14:textId="41BA98A5" w:rsidR="00A6354D" w:rsidRPr="00760411" w:rsidRDefault="00A6354D" w:rsidP="00A6354D">
            <w:pPr>
              <w:rPr>
                <w:color w:val="000000"/>
                <w:sz w:val="20"/>
                <w:szCs w:val="20"/>
              </w:rPr>
            </w:pPr>
            <w:r w:rsidRPr="00760411">
              <w:rPr>
                <w:color w:val="000000"/>
                <w:sz w:val="20"/>
                <w:szCs w:val="20"/>
              </w:rPr>
              <w:t>Shares issued for marketing campaign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77BDCA25" w14:textId="77777777" w:rsidR="00A6354D" w:rsidRPr="00760411" w:rsidRDefault="00A6354D" w:rsidP="00A6354D">
            <w:pPr>
              <w:jc w:val="right"/>
              <w:rPr>
                <w:color w:val="000000"/>
                <w:sz w:val="20"/>
                <w:szCs w:val="20"/>
              </w:rPr>
            </w:pPr>
            <w:r w:rsidRPr="00760411">
              <w:rPr>
                <w:color w:val="000000"/>
                <w:sz w:val="20"/>
                <w:szCs w:val="20"/>
              </w:rPr>
              <w:t xml:space="preserve">40,843 </w:t>
            </w:r>
          </w:p>
        </w:tc>
        <w:tc>
          <w:tcPr>
            <w:tcW w:w="1135" w:type="dxa"/>
            <w:tcBorders>
              <w:top w:val="nil"/>
              <w:left w:val="nil"/>
              <w:bottom w:val="nil"/>
              <w:right w:val="nil"/>
            </w:tcBorders>
            <w:shd w:val="clear" w:color="auto" w:fill="auto"/>
            <w:vAlign w:val="bottom"/>
            <w:hideMark/>
          </w:tcPr>
          <w:p w14:paraId="4700E8C6" w14:textId="77777777" w:rsidR="00A6354D" w:rsidRPr="00760411" w:rsidRDefault="00A6354D" w:rsidP="00A6354D">
            <w:pPr>
              <w:jc w:val="right"/>
              <w:rPr>
                <w:color w:val="000000"/>
                <w:sz w:val="20"/>
                <w:szCs w:val="20"/>
              </w:rPr>
            </w:pPr>
            <w:r w:rsidRPr="00760411">
              <w:rPr>
                <w:color w:val="000000"/>
                <w:sz w:val="20"/>
                <w:szCs w:val="20"/>
              </w:rPr>
              <w:t xml:space="preserve">15,000 </w:t>
            </w:r>
          </w:p>
        </w:tc>
        <w:tc>
          <w:tcPr>
            <w:tcW w:w="1172" w:type="dxa"/>
            <w:tcBorders>
              <w:top w:val="nil"/>
              <w:left w:val="nil"/>
              <w:bottom w:val="nil"/>
              <w:right w:val="nil"/>
            </w:tcBorders>
            <w:vAlign w:val="bottom"/>
          </w:tcPr>
          <w:p w14:paraId="24E8DE3A" w14:textId="1F7A8461" w:rsidR="00A6354D" w:rsidRPr="00760411" w:rsidRDefault="00A6354D" w:rsidP="00A6354D">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4C41D146" w14:textId="42753116"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14063E6D"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4E95A6D3"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5E2DD494" w14:textId="77777777" w:rsidR="00A6354D" w:rsidRPr="00760411" w:rsidRDefault="00A6354D" w:rsidP="00A6354D">
            <w:pPr>
              <w:jc w:val="right"/>
              <w:rPr>
                <w:color w:val="000000"/>
                <w:sz w:val="20"/>
                <w:szCs w:val="20"/>
              </w:rPr>
            </w:pPr>
            <w:r w:rsidRPr="00760411">
              <w:rPr>
                <w:color w:val="000000"/>
                <w:sz w:val="20"/>
                <w:szCs w:val="20"/>
              </w:rPr>
              <w:t xml:space="preserve">15,000 </w:t>
            </w:r>
          </w:p>
        </w:tc>
      </w:tr>
      <w:tr w:rsidR="00A6354D" w:rsidRPr="00760411" w14:paraId="4F63887F" w14:textId="77777777" w:rsidTr="00760411">
        <w:trPr>
          <w:trHeight w:val="252"/>
        </w:trPr>
        <w:tc>
          <w:tcPr>
            <w:tcW w:w="4253" w:type="dxa"/>
            <w:tcBorders>
              <w:top w:val="nil"/>
              <w:left w:val="nil"/>
              <w:bottom w:val="nil"/>
              <w:right w:val="nil"/>
            </w:tcBorders>
            <w:shd w:val="clear" w:color="auto" w:fill="auto"/>
            <w:vAlign w:val="bottom"/>
            <w:hideMark/>
          </w:tcPr>
          <w:p w14:paraId="3A85D1AC" w14:textId="4EE425C7" w:rsidR="00A6354D" w:rsidRPr="00760411" w:rsidRDefault="00A6354D" w:rsidP="00A6354D">
            <w:pPr>
              <w:rPr>
                <w:color w:val="000000"/>
                <w:sz w:val="20"/>
                <w:szCs w:val="20"/>
              </w:rPr>
            </w:pPr>
            <w:r w:rsidRPr="00760411">
              <w:rPr>
                <w:color w:val="000000"/>
                <w:sz w:val="20"/>
                <w:szCs w:val="20"/>
              </w:rPr>
              <w:t>Shares issuable marketing campaign (Note 1</w:t>
            </w:r>
            <w:r w:rsidR="00822DB4" w:rsidRPr="00760411">
              <w:rPr>
                <w:color w:val="000000"/>
                <w:sz w:val="20"/>
                <w:szCs w:val="20"/>
              </w:rPr>
              <w:t>4</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3AC97F63" w14:textId="40F85558"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5F28D2E1" w14:textId="4E4A5AD9" w:rsidR="00A6354D" w:rsidRPr="00760411" w:rsidRDefault="00CF6B67" w:rsidP="00A6354D">
            <w:pPr>
              <w:jc w:val="right"/>
              <w:rPr>
                <w:color w:val="000000"/>
                <w:sz w:val="20"/>
                <w:szCs w:val="20"/>
              </w:rPr>
            </w:pPr>
            <w:r w:rsidRPr="00760411">
              <w:rPr>
                <w:color w:val="000000"/>
                <w:sz w:val="20"/>
                <w:szCs w:val="20"/>
              </w:rPr>
              <w:t>-</w:t>
            </w:r>
            <w:r w:rsidR="00A6354D" w:rsidRPr="00760411">
              <w:rPr>
                <w:color w:val="000000"/>
                <w:sz w:val="20"/>
                <w:szCs w:val="20"/>
              </w:rPr>
              <w:t xml:space="preserve"> </w:t>
            </w:r>
          </w:p>
        </w:tc>
        <w:tc>
          <w:tcPr>
            <w:tcW w:w="1172" w:type="dxa"/>
            <w:tcBorders>
              <w:top w:val="nil"/>
              <w:left w:val="nil"/>
              <w:bottom w:val="nil"/>
              <w:right w:val="nil"/>
            </w:tcBorders>
            <w:vAlign w:val="bottom"/>
          </w:tcPr>
          <w:p w14:paraId="774550EC" w14:textId="153FC357" w:rsidR="00A6354D" w:rsidRPr="00760411" w:rsidRDefault="00A6354D" w:rsidP="00A6354D">
            <w:pPr>
              <w:jc w:val="right"/>
              <w:rPr>
                <w:color w:val="000000"/>
                <w:sz w:val="20"/>
                <w:szCs w:val="20"/>
              </w:rPr>
            </w:pPr>
            <w:r w:rsidRPr="00760411">
              <w:rPr>
                <w:color w:val="000000"/>
                <w:sz w:val="20"/>
                <w:szCs w:val="20"/>
              </w:rPr>
              <w:t>30,000</w:t>
            </w:r>
          </w:p>
        </w:tc>
        <w:tc>
          <w:tcPr>
            <w:tcW w:w="1172" w:type="dxa"/>
            <w:tcBorders>
              <w:top w:val="nil"/>
              <w:left w:val="nil"/>
              <w:bottom w:val="nil"/>
              <w:right w:val="nil"/>
            </w:tcBorders>
            <w:shd w:val="clear" w:color="auto" w:fill="auto"/>
            <w:vAlign w:val="bottom"/>
            <w:hideMark/>
          </w:tcPr>
          <w:p w14:paraId="3C2EDA61" w14:textId="1A8EE71F"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6C7C9081"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bottom w:val="nil"/>
              <w:right w:val="nil"/>
            </w:tcBorders>
            <w:shd w:val="clear" w:color="auto" w:fill="auto"/>
            <w:vAlign w:val="bottom"/>
            <w:hideMark/>
          </w:tcPr>
          <w:p w14:paraId="01C099D5"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54DA2252" w14:textId="28719A09" w:rsidR="00A6354D" w:rsidRPr="00760411" w:rsidRDefault="00A6354D" w:rsidP="00A6354D">
            <w:pPr>
              <w:jc w:val="right"/>
              <w:rPr>
                <w:color w:val="000000"/>
                <w:sz w:val="20"/>
                <w:szCs w:val="20"/>
              </w:rPr>
            </w:pPr>
            <w:r w:rsidRPr="00760411">
              <w:rPr>
                <w:color w:val="000000"/>
                <w:sz w:val="20"/>
                <w:szCs w:val="20"/>
              </w:rPr>
              <w:t xml:space="preserve">30,000 </w:t>
            </w:r>
          </w:p>
        </w:tc>
      </w:tr>
      <w:tr w:rsidR="00CF6B67" w:rsidRPr="00760411" w14:paraId="3BF8A82F" w14:textId="77777777" w:rsidTr="00760411">
        <w:trPr>
          <w:trHeight w:val="252"/>
        </w:trPr>
        <w:tc>
          <w:tcPr>
            <w:tcW w:w="4253" w:type="dxa"/>
            <w:tcBorders>
              <w:top w:val="nil"/>
              <w:left w:val="nil"/>
              <w:bottom w:val="nil"/>
              <w:right w:val="nil"/>
            </w:tcBorders>
            <w:shd w:val="clear" w:color="auto" w:fill="auto"/>
            <w:vAlign w:val="bottom"/>
            <w:hideMark/>
          </w:tcPr>
          <w:p w14:paraId="3D307E0B" w14:textId="049D0FCE" w:rsidR="00CF6B67" w:rsidRPr="00760411" w:rsidRDefault="00CF6B67" w:rsidP="00BA2C24">
            <w:pPr>
              <w:rPr>
                <w:color w:val="000000"/>
                <w:sz w:val="20"/>
                <w:szCs w:val="20"/>
              </w:rPr>
            </w:pPr>
            <w:r w:rsidRPr="00760411">
              <w:rPr>
                <w:color w:val="000000"/>
                <w:sz w:val="20"/>
                <w:szCs w:val="20"/>
              </w:rPr>
              <w:t xml:space="preserve">Equity component of convertible debentures (Note </w:t>
            </w:r>
            <w:r w:rsidR="00822DB4" w:rsidRPr="00760411">
              <w:rPr>
                <w:color w:val="000000"/>
                <w:sz w:val="20"/>
                <w:szCs w:val="20"/>
              </w:rPr>
              <w:t>10</w:t>
            </w:r>
            <w:r w:rsidRPr="00760411">
              <w:rPr>
                <w:color w:val="000000"/>
                <w:sz w:val="20"/>
                <w:szCs w:val="20"/>
              </w:rPr>
              <w:t>)</w:t>
            </w:r>
          </w:p>
        </w:tc>
        <w:tc>
          <w:tcPr>
            <w:tcW w:w="1554" w:type="dxa"/>
            <w:tcBorders>
              <w:top w:val="nil"/>
              <w:left w:val="nil"/>
              <w:bottom w:val="nil"/>
              <w:right w:val="nil"/>
            </w:tcBorders>
            <w:shd w:val="clear" w:color="auto" w:fill="auto"/>
            <w:vAlign w:val="bottom"/>
            <w:hideMark/>
          </w:tcPr>
          <w:p w14:paraId="08603534" w14:textId="77777777" w:rsidR="00CF6B67" w:rsidRPr="00760411" w:rsidRDefault="00CF6B67" w:rsidP="00BA2C24">
            <w:pPr>
              <w:jc w:val="right"/>
              <w:rPr>
                <w:color w:val="000000"/>
                <w:sz w:val="20"/>
                <w:szCs w:val="20"/>
              </w:rPr>
            </w:pPr>
            <w:r w:rsidRPr="00760411">
              <w:rPr>
                <w:color w:val="000000"/>
                <w:sz w:val="20"/>
                <w:szCs w:val="20"/>
              </w:rPr>
              <w:t xml:space="preserve">- </w:t>
            </w:r>
          </w:p>
        </w:tc>
        <w:tc>
          <w:tcPr>
            <w:tcW w:w="1135" w:type="dxa"/>
            <w:tcBorders>
              <w:top w:val="nil"/>
              <w:left w:val="nil"/>
              <w:bottom w:val="nil"/>
              <w:right w:val="nil"/>
            </w:tcBorders>
            <w:shd w:val="clear" w:color="auto" w:fill="auto"/>
            <w:vAlign w:val="bottom"/>
            <w:hideMark/>
          </w:tcPr>
          <w:p w14:paraId="6DE5D11F" w14:textId="77777777" w:rsidR="00CF6B67" w:rsidRPr="00760411" w:rsidRDefault="00CF6B67" w:rsidP="00BA2C24">
            <w:pPr>
              <w:jc w:val="right"/>
              <w:rPr>
                <w:color w:val="000000"/>
                <w:sz w:val="20"/>
                <w:szCs w:val="20"/>
              </w:rPr>
            </w:pPr>
            <w:r w:rsidRPr="00760411">
              <w:rPr>
                <w:color w:val="000000"/>
                <w:sz w:val="20"/>
                <w:szCs w:val="20"/>
              </w:rPr>
              <w:t xml:space="preserve">- </w:t>
            </w:r>
          </w:p>
        </w:tc>
        <w:tc>
          <w:tcPr>
            <w:tcW w:w="1172" w:type="dxa"/>
            <w:tcBorders>
              <w:top w:val="nil"/>
              <w:left w:val="nil"/>
              <w:bottom w:val="nil"/>
              <w:right w:val="nil"/>
            </w:tcBorders>
            <w:vAlign w:val="bottom"/>
          </w:tcPr>
          <w:p w14:paraId="24948C2C" w14:textId="77777777" w:rsidR="00CF6B67" w:rsidRPr="00760411" w:rsidRDefault="00CF6B67" w:rsidP="00BA2C24">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hideMark/>
          </w:tcPr>
          <w:p w14:paraId="71D23BD7" w14:textId="77777777" w:rsidR="00CF6B67" w:rsidRPr="00760411" w:rsidRDefault="00CF6B67" w:rsidP="00BA2C24">
            <w:pPr>
              <w:jc w:val="right"/>
              <w:rPr>
                <w:color w:val="000000"/>
                <w:sz w:val="20"/>
                <w:szCs w:val="20"/>
                <w:highlight w:val="yellow"/>
              </w:rPr>
            </w:pPr>
            <w:r w:rsidRPr="00760411">
              <w:rPr>
                <w:color w:val="000000"/>
                <w:sz w:val="20"/>
                <w:szCs w:val="20"/>
              </w:rPr>
              <w:t xml:space="preserve">- </w:t>
            </w:r>
          </w:p>
        </w:tc>
        <w:tc>
          <w:tcPr>
            <w:tcW w:w="1388" w:type="dxa"/>
            <w:tcBorders>
              <w:top w:val="nil"/>
              <w:left w:val="nil"/>
              <w:bottom w:val="nil"/>
              <w:right w:val="nil"/>
            </w:tcBorders>
            <w:shd w:val="clear" w:color="auto" w:fill="auto"/>
            <w:vAlign w:val="bottom"/>
            <w:hideMark/>
          </w:tcPr>
          <w:p w14:paraId="294E885D" w14:textId="00662AAA" w:rsidR="00CF6B67" w:rsidRPr="00760411" w:rsidRDefault="00CF6B67" w:rsidP="00BA2C24">
            <w:pPr>
              <w:jc w:val="right"/>
              <w:rPr>
                <w:color w:val="000000"/>
                <w:sz w:val="20"/>
                <w:szCs w:val="20"/>
                <w:highlight w:val="yellow"/>
              </w:rPr>
            </w:pPr>
            <w:r w:rsidRPr="00760411">
              <w:rPr>
                <w:color w:val="000000"/>
                <w:sz w:val="20"/>
                <w:szCs w:val="20"/>
              </w:rPr>
              <w:t xml:space="preserve">73,403 </w:t>
            </w:r>
          </w:p>
        </w:tc>
        <w:tc>
          <w:tcPr>
            <w:tcW w:w="1372" w:type="dxa"/>
            <w:tcBorders>
              <w:top w:val="nil"/>
              <w:left w:val="nil"/>
              <w:bottom w:val="nil"/>
              <w:right w:val="nil"/>
            </w:tcBorders>
            <w:shd w:val="clear" w:color="auto" w:fill="auto"/>
            <w:vAlign w:val="bottom"/>
            <w:hideMark/>
          </w:tcPr>
          <w:p w14:paraId="44D228EF" w14:textId="77777777" w:rsidR="00CF6B67" w:rsidRPr="00760411" w:rsidRDefault="00CF6B67" w:rsidP="00BA2C24">
            <w:pPr>
              <w:jc w:val="right"/>
              <w:rPr>
                <w:color w:val="000000"/>
                <w:sz w:val="20"/>
                <w:szCs w:val="20"/>
                <w:highlight w:val="yellow"/>
              </w:rPr>
            </w:pPr>
            <w:r w:rsidRPr="00760411">
              <w:rPr>
                <w:color w:val="000000"/>
                <w:sz w:val="20"/>
                <w:szCs w:val="20"/>
              </w:rPr>
              <w:t xml:space="preserve">- </w:t>
            </w:r>
          </w:p>
        </w:tc>
        <w:tc>
          <w:tcPr>
            <w:tcW w:w="1167" w:type="dxa"/>
            <w:tcBorders>
              <w:top w:val="nil"/>
              <w:left w:val="nil"/>
              <w:bottom w:val="nil"/>
              <w:right w:val="nil"/>
            </w:tcBorders>
            <w:shd w:val="clear" w:color="auto" w:fill="auto"/>
            <w:vAlign w:val="bottom"/>
            <w:hideMark/>
          </w:tcPr>
          <w:p w14:paraId="4D7927CC" w14:textId="3D9A17A8" w:rsidR="00CF6B67" w:rsidRPr="00760411" w:rsidRDefault="00CF6B67" w:rsidP="00BA2C24">
            <w:pPr>
              <w:jc w:val="right"/>
              <w:rPr>
                <w:color w:val="000000"/>
                <w:sz w:val="20"/>
                <w:szCs w:val="20"/>
                <w:highlight w:val="yellow"/>
              </w:rPr>
            </w:pPr>
            <w:r w:rsidRPr="00760411">
              <w:rPr>
                <w:color w:val="000000"/>
                <w:sz w:val="20"/>
                <w:szCs w:val="20"/>
              </w:rPr>
              <w:t xml:space="preserve">73,403 </w:t>
            </w:r>
          </w:p>
        </w:tc>
      </w:tr>
      <w:tr w:rsidR="00CF6B67" w:rsidRPr="00760411" w14:paraId="0F5126B0" w14:textId="77777777" w:rsidTr="00760411">
        <w:trPr>
          <w:trHeight w:val="252"/>
        </w:trPr>
        <w:tc>
          <w:tcPr>
            <w:tcW w:w="4253" w:type="dxa"/>
            <w:tcBorders>
              <w:top w:val="nil"/>
              <w:left w:val="nil"/>
              <w:bottom w:val="nil"/>
              <w:right w:val="nil"/>
            </w:tcBorders>
            <w:shd w:val="clear" w:color="auto" w:fill="auto"/>
            <w:vAlign w:val="bottom"/>
          </w:tcPr>
          <w:p w14:paraId="1ED08B52" w14:textId="54E63CFF" w:rsidR="00CF6B67" w:rsidRPr="00760411" w:rsidRDefault="00CF6B67" w:rsidP="00BA2C24">
            <w:pPr>
              <w:rPr>
                <w:color w:val="000000"/>
                <w:sz w:val="20"/>
                <w:szCs w:val="20"/>
              </w:rPr>
            </w:pPr>
            <w:r w:rsidRPr="00760411">
              <w:rPr>
                <w:color w:val="000000"/>
                <w:sz w:val="20"/>
                <w:szCs w:val="20"/>
              </w:rPr>
              <w:t xml:space="preserve">Debt issuance costs – agents’ warrants (Note </w:t>
            </w:r>
            <w:r w:rsidR="00822DB4" w:rsidRPr="00760411">
              <w:rPr>
                <w:color w:val="000000"/>
                <w:sz w:val="20"/>
                <w:szCs w:val="20"/>
              </w:rPr>
              <w:t>10</w:t>
            </w:r>
            <w:r w:rsidRPr="00760411">
              <w:rPr>
                <w:color w:val="000000"/>
                <w:sz w:val="20"/>
                <w:szCs w:val="20"/>
              </w:rPr>
              <w:t>)</w:t>
            </w:r>
          </w:p>
        </w:tc>
        <w:tc>
          <w:tcPr>
            <w:tcW w:w="1554" w:type="dxa"/>
            <w:tcBorders>
              <w:top w:val="nil"/>
              <w:left w:val="nil"/>
              <w:bottom w:val="nil"/>
              <w:right w:val="nil"/>
            </w:tcBorders>
            <w:shd w:val="clear" w:color="auto" w:fill="auto"/>
            <w:vAlign w:val="bottom"/>
          </w:tcPr>
          <w:p w14:paraId="417D96DD" w14:textId="2712B534" w:rsidR="00CF6B67" w:rsidRPr="00760411" w:rsidRDefault="00CF6B67" w:rsidP="00BA2C24">
            <w:pPr>
              <w:jc w:val="right"/>
              <w:rPr>
                <w:color w:val="000000"/>
                <w:sz w:val="20"/>
                <w:szCs w:val="20"/>
              </w:rPr>
            </w:pPr>
            <w:r w:rsidRPr="00760411">
              <w:rPr>
                <w:color w:val="000000"/>
                <w:sz w:val="20"/>
                <w:szCs w:val="20"/>
              </w:rPr>
              <w:t>-</w:t>
            </w:r>
          </w:p>
        </w:tc>
        <w:tc>
          <w:tcPr>
            <w:tcW w:w="1135" w:type="dxa"/>
            <w:tcBorders>
              <w:top w:val="nil"/>
              <w:left w:val="nil"/>
              <w:bottom w:val="nil"/>
              <w:right w:val="nil"/>
            </w:tcBorders>
            <w:shd w:val="clear" w:color="auto" w:fill="auto"/>
            <w:vAlign w:val="bottom"/>
          </w:tcPr>
          <w:p w14:paraId="0A118078" w14:textId="13BE4F7B" w:rsidR="00CF6B67" w:rsidRPr="00760411" w:rsidRDefault="00CF6B67" w:rsidP="00BA2C24">
            <w:pPr>
              <w:jc w:val="right"/>
              <w:rPr>
                <w:color w:val="000000"/>
                <w:sz w:val="20"/>
                <w:szCs w:val="20"/>
              </w:rPr>
            </w:pPr>
            <w:r w:rsidRPr="00760411">
              <w:rPr>
                <w:color w:val="000000"/>
                <w:sz w:val="20"/>
                <w:szCs w:val="20"/>
              </w:rPr>
              <w:t>-</w:t>
            </w:r>
          </w:p>
        </w:tc>
        <w:tc>
          <w:tcPr>
            <w:tcW w:w="1172" w:type="dxa"/>
            <w:tcBorders>
              <w:top w:val="nil"/>
              <w:left w:val="nil"/>
              <w:bottom w:val="nil"/>
              <w:right w:val="nil"/>
            </w:tcBorders>
            <w:vAlign w:val="bottom"/>
          </w:tcPr>
          <w:p w14:paraId="5C7A2973" w14:textId="06FBCF05" w:rsidR="00CF6B67" w:rsidRPr="00760411" w:rsidRDefault="00CF6B67" w:rsidP="00BA2C24">
            <w:pPr>
              <w:jc w:val="right"/>
              <w:rPr>
                <w:color w:val="000000"/>
                <w:sz w:val="20"/>
                <w:szCs w:val="20"/>
              </w:rPr>
            </w:pPr>
            <w:r w:rsidRPr="00760411">
              <w:rPr>
                <w:color w:val="000000"/>
                <w:sz w:val="20"/>
                <w:szCs w:val="20"/>
              </w:rPr>
              <w:t>-</w:t>
            </w:r>
          </w:p>
        </w:tc>
        <w:tc>
          <w:tcPr>
            <w:tcW w:w="1172" w:type="dxa"/>
            <w:tcBorders>
              <w:top w:val="nil"/>
              <w:left w:val="nil"/>
              <w:bottom w:val="nil"/>
              <w:right w:val="nil"/>
            </w:tcBorders>
            <w:shd w:val="clear" w:color="auto" w:fill="auto"/>
            <w:vAlign w:val="bottom"/>
          </w:tcPr>
          <w:p w14:paraId="559500E9" w14:textId="5F26F9A2" w:rsidR="00CF6B67" w:rsidRPr="00760411" w:rsidRDefault="00CF6B67" w:rsidP="00BA2C24">
            <w:pPr>
              <w:jc w:val="right"/>
              <w:rPr>
                <w:color w:val="000000"/>
                <w:sz w:val="20"/>
                <w:szCs w:val="20"/>
              </w:rPr>
            </w:pPr>
            <w:r w:rsidRPr="00760411">
              <w:rPr>
                <w:color w:val="000000"/>
                <w:sz w:val="20"/>
                <w:szCs w:val="20"/>
              </w:rPr>
              <w:t>9,641</w:t>
            </w:r>
          </w:p>
        </w:tc>
        <w:tc>
          <w:tcPr>
            <w:tcW w:w="1388" w:type="dxa"/>
            <w:tcBorders>
              <w:top w:val="nil"/>
              <w:left w:val="nil"/>
              <w:bottom w:val="nil"/>
              <w:right w:val="nil"/>
            </w:tcBorders>
            <w:shd w:val="clear" w:color="auto" w:fill="auto"/>
            <w:vAlign w:val="bottom"/>
          </w:tcPr>
          <w:p w14:paraId="5050C635" w14:textId="75439C95" w:rsidR="00CF6B67" w:rsidRPr="00760411" w:rsidRDefault="00CF6B67" w:rsidP="00BA2C24">
            <w:pPr>
              <w:jc w:val="right"/>
              <w:rPr>
                <w:color w:val="000000"/>
                <w:sz w:val="20"/>
                <w:szCs w:val="20"/>
              </w:rPr>
            </w:pPr>
            <w:r w:rsidRPr="00760411">
              <w:rPr>
                <w:color w:val="000000"/>
                <w:sz w:val="20"/>
                <w:szCs w:val="20"/>
              </w:rPr>
              <w:t>-</w:t>
            </w:r>
          </w:p>
        </w:tc>
        <w:tc>
          <w:tcPr>
            <w:tcW w:w="1372" w:type="dxa"/>
            <w:tcBorders>
              <w:top w:val="nil"/>
              <w:left w:val="nil"/>
              <w:bottom w:val="nil"/>
              <w:right w:val="nil"/>
            </w:tcBorders>
            <w:shd w:val="clear" w:color="auto" w:fill="auto"/>
            <w:vAlign w:val="bottom"/>
          </w:tcPr>
          <w:p w14:paraId="45D0B7BF" w14:textId="3DDAED13" w:rsidR="00CF6B67" w:rsidRPr="00760411" w:rsidRDefault="00CF6B67" w:rsidP="00BA2C24">
            <w:pPr>
              <w:jc w:val="right"/>
              <w:rPr>
                <w:color w:val="000000"/>
                <w:sz w:val="20"/>
                <w:szCs w:val="20"/>
              </w:rPr>
            </w:pPr>
            <w:r w:rsidRPr="00760411">
              <w:rPr>
                <w:color w:val="000000"/>
                <w:sz w:val="20"/>
                <w:szCs w:val="20"/>
              </w:rPr>
              <w:t>-</w:t>
            </w:r>
          </w:p>
        </w:tc>
        <w:tc>
          <w:tcPr>
            <w:tcW w:w="1167" w:type="dxa"/>
            <w:tcBorders>
              <w:top w:val="nil"/>
              <w:left w:val="nil"/>
              <w:bottom w:val="nil"/>
              <w:right w:val="nil"/>
            </w:tcBorders>
            <w:shd w:val="clear" w:color="auto" w:fill="auto"/>
            <w:vAlign w:val="bottom"/>
          </w:tcPr>
          <w:p w14:paraId="7325E1B7" w14:textId="22B8337B" w:rsidR="00CF6B67" w:rsidRPr="00760411" w:rsidRDefault="00CF6B67" w:rsidP="00BA2C24">
            <w:pPr>
              <w:jc w:val="right"/>
              <w:rPr>
                <w:color w:val="000000"/>
                <w:sz w:val="20"/>
                <w:szCs w:val="20"/>
              </w:rPr>
            </w:pPr>
            <w:r w:rsidRPr="00760411">
              <w:rPr>
                <w:color w:val="000000"/>
                <w:sz w:val="20"/>
                <w:szCs w:val="20"/>
              </w:rPr>
              <w:t>9,641</w:t>
            </w:r>
          </w:p>
        </w:tc>
      </w:tr>
      <w:tr w:rsidR="00032420" w:rsidRPr="00760411" w14:paraId="5ED9C470" w14:textId="77777777" w:rsidTr="00760411">
        <w:trPr>
          <w:trHeight w:val="252"/>
        </w:trPr>
        <w:tc>
          <w:tcPr>
            <w:tcW w:w="4253" w:type="dxa"/>
            <w:tcBorders>
              <w:top w:val="nil"/>
              <w:left w:val="nil"/>
              <w:right w:val="nil"/>
            </w:tcBorders>
            <w:shd w:val="clear" w:color="auto" w:fill="auto"/>
            <w:vAlign w:val="bottom"/>
          </w:tcPr>
          <w:p w14:paraId="1257979D" w14:textId="71C80BE2" w:rsidR="00032420" w:rsidRPr="00760411" w:rsidRDefault="00032420" w:rsidP="00A6354D">
            <w:pPr>
              <w:rPr>
                <w:color w:val="000000"/>
                <w:sz w:val="20"/>
                <w:szCs w:val="20"/>
              </w:rPr>
            </w:pPr>
            <w:r>
              <w:rPr>
                <w:color w:val="000000"/>
                <w:sz w:val="20"/>
                <w:szCs w:val="20"/>
              </w:rPr>
              <w:t>Shares cancelled</w:t>
            </w:r>
          </w:p>
        </w:tc>
        <w:tc>
          <w:tcPr>
            <w:tcW w:w="1554" w:type="dxa"/>
            <w:tcBorders>
              <w:top w:val="nil"/>
              <w:left w:val="nil"/>
              <w:right w:val="nil"/>
            </w:tcBorders>
            <w:shd w:val="clear" w:color="auto" w:fill="auto"/>
            <w:vAlign w:val="bottom"/>
          </w:tcPr>
          <w:p w14:paraId="45602732" w14:textId="71A0E92E" w:rsidR="00032420" w:rsidRPr="00760411" w:rsidRDefault="00032420" w:rsidP="00A6354D">
            <w:pPr>
              <w:jc w:val="right"/>
              <w:rPr>
                <w:color w:val="000000"/>
                <w:sz w:val="20"/>
                <w:szCs w:val="20"/>
              </w:rPr>
            </w:pPr>
            <w:r>
              <w:rPr>
                <w:color w:val="000000"/>
                <w:sz w:val="20"/>
                <w:szCs w:val="20"/>
              </w:rPr>
              <w:t>(400,000)</w:t>
            </w:r>
          </w:p>
        </w:tc>
        <w:tc>
          <w:tcPr>
            <w:tcW w:w="1135" w:type="dxa"/>
            <w:tcBorders>
              <w:top w:val="nil"/>
              <w:left w:val="nil"/>
              <w:right w:val="nil"/>
            </w:tcBorders>
            <w:shd w:val="clear" w:color="auto" w:fill="auto"/>
            <w:vAlign w:val="bottom"/>
          </w:tcPr>
          <w:p w14:paraId="14CC75BE" w14:textId="208D2CB2" w:rsidR="00032420" w:rsidRPr="00760411" w:rsidRDefault="00032420" w:rsidP="00A6354D">
            <w:pPr>
              <w:jc w:val="right"/>
              <w:rPr>
                <w:color w:val="000000"/>
                <w:sz w:val="20"/>
                <w:szCs w:val="20"/>
              </w:rPr>
            </w:pPr>
            <w:r>
              <w:rPr>
                <w:color w:val="000000"/>
                <w:sz w:val="20"/>
                <w:szCs w:val="20"/>
              </w:rPr>
              <w:t>(100,000)</w:t>
            </w:r>
          </w:p>
        </w:tc>
        <w:tc>
          <w:tcPr>
            <w:tcW w:w="1172" w:type="dxa"/>
            <w:tcBorders>
              <w:top w:val="nil"/>
              <w:left w:val="nil"/>
              <w:right w:val="nil"/>
            </w:tcBorders>
            <w:vAlign w:val="bottom"/>
          </w:tcPr>
          <w:p w14:paraId="02CDC5EE" w14:textId="37170E19" w:rsidR="00032420" w:rsidRPr="00760411" w:rsidRDefault="00032420" w:rsidP="00A6354D">
            <w:pPr>
              <w:jc w:val="right"/>
              <w:rPr>
                <w:color w:val="000000"/>
                <w:sz w:val="20"/>
                <w:szCs w:val="20"/>
              </w:rPr>
            </w:pPr>
            <w:r>
              <w:rPr>
                <w:color w:val="000000"/>
                <w:sz w:val="20"/>
                <w:szCs w:val="20"/>
              </w:rPr>
              <w:t>-</w:t>
            </w:r>
          </w:p>
        </w:tc>
        <w:tc>
          <w:tcPr>
            <w:tcW w:w="1172" w:type="dxa"/>
            <w:tcBorders>
              <w:top w:val="nil"/>
              <w:left w:val="nil"/>
              <w:right w:val="nil"/>
            </w:tcBorders>
            <w:shd w:val="clear" w:color="auto" w:fill="auto"/>
            <w:vAlign w:val="bottom"/>
          </w:tcPr>
          <w:p w14:paraId="2B2EEF03" w14:textId="287BA7A6" w:rsidR="00032420" w:rsidRPr="00760411" w:rsidRDefault="00032420" w:rsidP="00A6354D">
            <w:pPr>
              <w:jc w:val="right"/>
              <w:rPr>
                <w:color w:val="000000"/>
                <w:sz w:val="20"/>
                <w:szCs w:val="20"/>
              </w:rPr>
            </w:pPr>
            <w:r>
              <w:rPr>
                <w:color w:val="000000"/>
                <w:sz w:val="20"/>
                <w:szCs w:val="20"/>
              </w:rPr>
              <w:t>-</w:t>
            </w:r>
          </w:p>
        </w:tc>
        <w:tc>
          <w:tcPr>
            <w:tcW w:w="1388" w:type="dxa"/>
            <w:tcBorders>
              <w:top w:val="nil"/>
              <w:left w:val="nil"/>
              <w:right w:val="nil"/>
            </w:tcBorders>
            <w:shd w:val="clear" w:color="auto" w:fill="auto"/>
            <w:vAlign w:val="bottom"/>
          </w:tcPr>
          <w:p w14:paraId="42941EBC" w14:textId="574DDA39" w:rsidR="00032420" w:rsidRPr="00760411" w:rsidRDefault="00032420" w:rsidP="00A6354D">
            <w:pPr>
              <w:jc w:val="right"/>
              <w:rPr>
                <w:color w:val="000000"/>
                <w:sz w:val="20"/>
                <w:szCs w:val="20"/>
              </w:rPr>
            </w:pPr>
            <w:r>
              <w:rPr>
                <w:color w:val="000000"/>
                <w:sz w:val="20"/>
                <w:szCs w:val="20"/>
              </w:rPr>
              <w:t>-</w:t>
            </w:r>
          </w:p>
        </w:tc>
        <w:tc>
          <w:tcPr>
            <w:tcW w:w="1372" w:type="dxa"/>
            <w:tcBorders>
              <w:top w:val="nil"/>
              <w:left w:val="nil"/>
              <w:right w:val="nil"/>
            </w:tcBorders>
            <w:shd w:val="clear" w:color="auto" w:fill="auto"/>
            <w:vAlign w:val="bottom"/>
          </w:tcPr>
          <w:p w14:paraId="476BD834" w14:textId="0E4A8EE5" w:rsidR="00032420" w:rsidRPr="00760411" w:rsidRDefault="00032420" w:rsidP="00A6354D">
            <w:pPr>
              <w:jc w:val="right"/>
              <w:rPr>
                <w:color w:val="000000"/>
                <w:sz w:val="20"/>
                <w:szCs w:val="20"/>
              </w:rPr>
            </w:pPr>
            <w:r>
              <w:rPr>
                <w:color w:val="000000"/>
                <w:sz w:val="20"/>
                <w:szCs w:val="20"/>
              </w:rPr>
              <w:t>-</w:t>
            </w:r>
          </w:p>
        </w:tc>
        <w:tc>
          <w:tcPr>
            <w:tcW w:w="1167" w:type="dxa"/>
            <w:tcBorders>
              <w:top w:val="nil"/>
              <w:left w:val="nil"/>
              <w:right w:val="nil"/>
            </w:tcBorders>
            <w:shd w:val="clear" w:color="auto" w:fill="auto"/>
            <w:vAlign w:val="bottom"/>
          </w:tcPr>
          <w:p w14:paraId="0F522ECA" w14:textId="46B249A6" w:rsidR="00032420" w:rsidRPr="00760411" w:rsidRDefault="00032420" w:rsidP="00A6354D">
            <w:pPr>
              <w:jc w:val="right"/>
              <w:rPr>
                <w:color w:val="000000"/>
                <w:sz w:val="20"/>
                <w:szCs w:val="20"/>
              </w:rPr>
            </w:pPr>
            <w:r>
              <w:rPr>
                <w:color w:val="000000"/>
                <w:sz w:val="20"/>
                <w:szCs w:val="20"/>
              </w:rPr>
              <w:t>(100,000)</w:t>
            </w:r>
          </w:p>
        </w:tc>
      </w:tr>
      <w:tr w:rsidR="00A6354D" w:rsidRPr="00760411" w14:paraId="2758ABD3" w14:textId="77777777" w:rsidTr="00760411">
        <w:trPr>
          <w:trHeight w:val="252"/>
        </w:trPr>
        <w:tc>
          <w:tcPr>
            <w:tcW w:w="4253" w:type="dxa"/>
            <w:tcBorders>
              <w:top w:val="nil"/>
              <w:left w:val="nil"/>
              <w:right w:val="nil"/>
            </w:tcBorders>
            <w:shd w:val="clear" w:color="auto" w:fill="auto"/>
            <w:vAlign w:val="bottom"/>
            <w:hideMark/>
          </w:tcPr>
          <w:p w14:paraId="1D082F40" w14:textId="77777777" w:rsidR="00A6354D" w:rsidRPr="00760411" w:rsidRDefault="00A6354D" w:rsidP="00A6354D">
            <w:pPr>
              <w:rPr>
                <w:color w:val="000000"/>
                <w:sz w:val="20"/>
                <w:szCs w:val="20"/>
              </w:rPr>
            </w:pPr>
            <w:r w:rsidRPr="00760411">
              <w:rPr>
                <w:color w:val="000000"/>
                <w:sz w:val="20"/>
                <w:szCs w:val="20"/>
              </w:rPr>
              <w:t>Share-based payments</w:t>
            </w:r>
          </w:p>
        </w:tc>
        <w:tc>
          <w:tcPr>
            <w:tcW w:w="1554" w:type="dxa"/>
            <w:tcBorders>
              <w:top w:val="nil"/>
              <w:left w:val="nil"/>
              <w:right w:val="nil"/>
            </w:tcBorders>
            <w:shd w:val="clear" w:color="auto" w:fill="auto"/>
            <w:vAlign w:val="bottom"/>
            <w:hideMark/>
          </w:tcPr>
          <w:p w14:paraId="5E09722E"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right w:val="nil"/>
            </w:tcBorders>
            <w:shd w:val="clear" w:color="auto" w:fill="auto"/>
            <w:vAlign w:val="bottom"/>
            <w:hideMark/>
          </w:tcPr>
          <w:p w14:paraId="2B6E36F0"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right w:val="nil"/>
            </w:tcBorders>
            <w:vAlign w:val="bottom"/>
          </w:tcPr>
          <w:p w14:paraId="7A9716EA" w14:textId="4ED27C34" w:rsidR="00A6354D" w:rsidRPr="00760411" w:rsidRDefault="00CF6B67" w:rsidP="00A6354D">
            <w:pPr>
              <w:jc w:val="right"/>
              <w:rPr>
                <w:color w:val="000000"/>
                <w:sz w:val="20"/>
                <w:szCs w:val="20"/>
              </w:rPr>
            </w:pPr>
            <w:r w:rsidRPr="00760411">
              <w:rPr>
                <w:color w:val="000000"/>
                <w:sz w:val="20"/>
                <w:szCs w:val="20"/>
              </w:rPr>
              <w:t>-</w:t>
            </w:r>
          </w:p>
        </w:tc>
        <w:tc>
          <w:tcPr>
            <w:tcW w:w="1172" w:type="dxa"/>
            <w:tcBorders>
              <w:top w:val="nil"/>
              <w:left w:val="nil"/>
              <w:right w:val="nil"/>
            </w:tcBorders>
            <w:shd w:val="clear" w:color="auto" w:fill="auto"/>
            <w:vAlign w:val="bottom"/>
            <w:hideMark/>
          </w:tcPr>
          <w:p w14:paraId="7A44E796" w14:textId="27F585E6" w:rsidR="00A6354D" w:rsidRPr="00760411" w:rsidRDefault="00CF6B67" w:rsidP="00A6354D">
            <w:pPr>
              <w:jc w:val="right"/>
              <w:rPr>
                <w:color w:val="000000"/>
                <w:sz w:val="20"/>
                <w:szCs w:val="20"/>
              </w:rPr>
            </w:pPr>
            <w:r w:rsidRPr="00760411">
              <w:rPr>
                <w:color w:val="000000"/>
                <w:sz w:val="20"/>
                <w:szCs w:val="20"/>
              </w:rPr>
              <w:t>252,478</w:t>
            </w:r>
            <w:r w:rsidR="00A6354D" w:rsidRPr="00760411">
              <w:rPr>
                <w:color w:val="000000"/>
                <w:sz w:val="20"/>
                <w:szCs w:val="20"/>
              </w:rPr>
              <w:t xml:space="preserve"> </w:t>
            </w:r>
          </w:p>
        </w:tc>
        <w:tc>
          <w:tcPr>
            <w:tcW w:w="1388" w:type="dxa"/>
            <w:tcBorders>
              <w:top w:val="nil"/>
              <w:left w:val="nil"/>
              <w:right w:val="nil"/>
            </w:tcBorders>
            <w:shd w:val="clear" w:color="auto" w:fill="auto"/>
            <w:vAlign w:val="bottom"/>
            <w:hideMark/>
          </w:tcPr>
          <w:p w14:paraId="40755549"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right w:val="nil"/>
            </w:tcBorders>
            <w:shd w:val="clear" w:color="auto" w:fill="auto"/>
            <w:vAlign w:val="bottom"/>
            <w:hideMark/>
          </w:tcPr>
          <w:p w14:paraId="7055ABA8"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67" w:type="dxa"/>
            <w:tcBorders>
              <w:top w:val="nil"/>
              <w:left w:val="nil"/>
              <w:right w:val="nil"/>
            </w:tcBorders>
            <w:shd w:val="clear" w:color="auto" w:fill="auto"/>
            <w:vAlign w:val="bottom"/>
            <w:hideMark/>
          </w:tcPr>
          <w:p w14:paraId="21A73994" w14:textId="0CAAF4DF" w:rsidR="00A6354D" w:rsidRPr="00760411" w:rsidRDefault="00CF6B67" w:rsidP="00A6354D">
            <w:pPr>
              <w:jc w:val="right"/>
              <w:rPr>
                <w:color w:val="000000"/>
                <w:sz w:val="20"/>
                <w:szCs w:val="20"/>
              </w:rPr>
            </w:pPr>
            <w:r w:rsidRPr="00760411">
              <w:rPr>
                <w:color w:val="000000"/>
                <w:sz w:val="20"/>
                <w:szCs w:val="20"/>
              </w:rPr>
              <w:t>252,478</w:t>
            </w:r>
            <w:r w:rsidR="00A6354D" w:rsidRPr="00760411">
              <w:rPr>
                <w:color w:val="000000"/>
                <w:sz w:val="20"/>
                <w:szCs w:val="20"/>
              </w:rPr>
              <w:t xml:space="preserve"> </w:t>
            </w:r>
          </w:p>
        </w:tc>
      </w:tr>
      <w:tr w:rsidR="00A6354D" w:rsidRPr="00760411" w14:paraId="460489DE" w14:textId="77777777" w:rsidTr="00760411">
        <w:trPr>
          <w:trHeight w:val="252"/>
        </w:trPr>
        <w:tc>
          <w:tcPr>
            <w:tcW w:w="4253" w:type="dxa"/>
            <w:tcBorders>
              <w:top w:val="nil"/>
              <w:left w:val="nil"/>
              <w:right w:val="nil"/>
            </w:tcBorders>
            <w:shd w:val="clear" w:color="auto" w:fill="auto"/>
            <w:vAlign w:val="bottom"/>
            <w:hideMark/>
          </w:tcPr>
          <w:p w14:paraId="0FC474F4" w14:textId="77777777" w:rsidR="00A6354D" w:rsidRPr="00760411" w:rsidRDefault="00A6354D" w:rsidP="00A6354D">
            <w:pPr>
              <w:rPr>
                <w:color w:val="000000"/>
                <w:sz w:val="20"/>
                <w:szCs w:val="20"/>
              </w:rPr>
            </w:pPr>
            <w:r w:rsidRPr="00760411">
              <w:rPr>
                <w:color w:val="000000"/>
                <w:sz w:val="20"/>
                <w:szCs w:val="20"/>
              </w:rPr>
              <w:t>Net loss for the period</w:t>
            </w:r>
          </w:p>
        </w:tc>
        <w:tc>
          <w:tcPr>
            <w:tcW w:w="1554" w:type="dxa"/>
            <w:tcBorders>
              <w:top w:val="nil"/>
              <w:left w:val="nil"/>
              <w:right w:val="nil"/>
            </w:tcBorders>
            <w:shd w:val="clear" w:color="auto" w:fill="auto"/>
            <w:vAlign w:val="bottom"/>
            <w:hideMark/>
          </w:tcPr>
          <w:p w14:paraId="7EC76A10"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35" w:type="dxa"/>
            <w:tcBorders>
              <w:top w:val="nil"/>
              <w:left w:val="nil"/>
              <w:right w:val="nil"/>
            </w:tcBorders>
            <w:shd w:val="clear" w:color="auto" w:fill="auto"/>
            <w:vAlign w:val="bottom"/>
            <w:hideMark/>
          </w:tcPr>
          <w:p w14:paraId="433CD535"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172" w:type="dxa"/>
            <w:tcBorders>
              <w:top w:val="nil"/>
              <w:left w:val="nil"/>
              <w:right w:val="nil"/>
            </w:tcBorders>
            <w:vAlign w:val="bottom"/>
          </w:tcPr>
          <w:p w14:paraId="01E3C73D" w14:textId="7851C2BB" w:rsidR="00A6354D" w:rsidRPr="00760411" w:rsidRDefault="00CF6B67" w:rsidP="00A6354D">
            <w:pPr>
              <w:jc w:val="right"/>
              <w:rPr>
                <w:color w:val="000000"/>
                <w:sz w:val="20"/>
                <w:szCs w:val="20"/>
              </w:rPr>
            </w:pPr>
            <w:r w:rsidRPr="00760411">
              <w:rPr>
                <w:color w:val="000000"/>
                <w:sz w:val="20"/>
                <w:szCs w:val="20"/>
              </w:rPr>
              <w:t>-</w:t>
            </w:r>
          </w:p>
        </w:tc>
        <w:tc>
          <w:tcPr>
            <w:tcW w:w="1172" w:type="dxa"/>
            <w:tcBorders>
              <w:top w:val="nil"/>
              <w:left w:val="nil"/>
              <w:right w:val="nil"/>
            </w:tcBorders>
            <w:shd w:val="clear" w:color="auto" w:fill="auto"/>
            <w:vAlign w:val="bottom"/>
            <w:hideMark/>
          </w:tcPr>
          <w:p w14:paraId="27E3D976" w14:textId="0289F760" w:rsidR="00A6354D" w:rsidRPr="00760411" w:rsidRDefault="00A6354D" w:rsidP="00A6354D">
            <w:pPr>
              <w:jc w:val="right"/>
              <w:rPr>
                <w:color w:val="000000"/>
                <w:sz w:val="20"/>
                <w:szCs w:val="20"/>
              </w:rPr>
            </w:pPr>
            <w:r w:rsidRPr="00760411">
              <w:rPr>
                <w:color w:val="000000"/>
                <w:sz w:val="20"/>
                <w:szCs w:val="20"/>
              </w:rPr>
              <w:t xml:space="preserve">- </w:t>
            </w:r>
          </w:p>
        </w:tc>
        <w:tc>
          <w:tcPr>
            <w:tcW w:w="1388" w:type="dxa"/>
            <w:tcBorders>
              <w:top w:val="nil"/>
              <w:left w:val="nil"/>
              <w:right w:val="nil"/>
            </w:tcBorders>
            <w:shd w:val="clear" w:color="auto" w:fill="auto"/>
            <w:vAlign w:val="bottom"/>
            <w:hideMark/>
          </w:tcPr>
          <w:p w14:paraId="6B1A40C8" w14:textId="77777777" w:rsidR="00A6354D" w:rsidRPr="00760411" w:rsidRDefault="00A6354D" w:rsidP="00A6354D">
            <w:pPr>
              <w:jc w:val="right"/>
              <w:rPr>
                <w:color w:val="000000"/>
                <w:sz w:val="20"/>
                <w:szCs w:val="20"/>
              </w:rPr>
            </w:pPr>
            <w:r w:rsidRPr="00760411">
              <w:rPr>
                <w:color w:val="000000"/>
                <w:sz w:val="20"/>
                <w:szCs w:val="20"/>
              </w:rPr>
              <w:t xml:space="preserve">- </w:t>
            </w:r>
          </w:p>
        </w:tc>
        <w:tc>
          <w:tcPr>
            <w:tcW w:w="1372" w:type="dxa"/>
            <w:tcBorders>
              <w:top w:val="nil"/>
              <w:left w:val="nil"/>
              <w:right w:val="nil"/>
            </w:tcBorders>
            <w:shd w:val="clear" w:color="auto" w:fill="auto"/>
            <w:vAlign w:val="bottom"/>
            <w:hideMark/>
          </w:tcPr>
          <w:p w14:paraId="69342C58" w14:textId="2F25083F" w:rsidR="00A6354D" w:rsidRPr="00760411" w:rsidRDefault="00A6354D" w:rsidP="00A6354D">
            <w:pPr>
              <w:jc w:val="right"/>
              <w:rPr>
                <w:color w:val="000000"/>
                <w:sz w:val="20"/>
                <w:szCs w:val="20"/>
              </w:rPr>
            </w:pPr>
            <w:r w:rsidRPr="00760411">
              <w:rPr>
                <w:color w:val="000000"/>
                <w:sz w:val="20"/>
                <w:szCs w:val="20"/>
              </w:rPr>
              <w:t>(</w:t>
            </w:r>
            <w:r w:rsidR="00CF6B67" w:rsidRPr="00760411">
              <w:rPr>
                <w:color w:val="000000"/>
                <w:sz w:val="20"/>
                <w:szCs w:val="20"/>
              </w:rPr>
              <w:t>2,</w:t>
            </w:r>
            <w:r w:rsidR="00032420">
              <w:rPr>
                <w:color w:val="000000"/>
                <w:sz w:val="20"/>
                <w:szCs w:val="20"/>
              </w:rPr>
              <w:t>651,797</w:t>
            </w:r>
            <w:r w:rsidRPr="00760411">
              <w:rPr>
                <w:color w:val="000000"/>
                <w:sz w:val="20"/>
                <w:szCs w:val="20"/>
              </w:rPr>
              <w:t>)</w:t>
            </w:r>
          </w:p>
        </w:tc>
        <w:tc>
          <w:tcPr>
            <w:tcW w:w="1167" w:type="dxa"/>
            <w:tcBorders>
              <w:top w:val="nil"/>
              <w:left w:val="nil"/>
              <w:right w:val="nil"/>
            </w:tcBorders>
            <w:shd w:val="clear" w:color="auto" w:fill="auto"/>
            <w:vAlign w:val="bottom"/>
            <w:hideMark/>
          </w:tcPr>
          <w:p w14:paraId="11961732" w14:textId="2552420E" w:rsidR="00A6354D" w:rsidRPr="00760411" w:rsidRDefault="00A6354D" w:rsidP="00A6354D">
            <w:pPr>
              <w:jc w:val="right"/>
              <w:rPr>
                <w:color w:val="000000"/>
                <w:sz w:val="20"/>
                <w:szCs w:val="20"/>
              </w:rPr>
            </w:pPr>
            <w:r w:rsidRPr="00760411">
              <w:rPr>
                <w:color w:val="000000"/>
                <w:sz w:val="20"/>
                <w:szCs w:val="20"/>
              </w:rPr>
              <w:t>(</w:t>
            </w:r>
            <w:r w:rsidR="00CF6B67" w:rsidRPr="00760411">
              <w:rPr>
                <w:color w:val="000000"/>
                <w:sz w:val="20"/>
                <w:szCs w:val="20"/>
              </w:rPr>
              <w:t>2,</w:t>
            </w:r>
            <w:r w:rsidR="00032420">
              <w:rPr>
                <w:color w:val="000000"/>
                <w:sz w:val="20"/>
                <w:szCs w:val="20"/>
              </w:rPr>
              <w:t>651,797</w:t>
            </w:r>
            <w:r w:rsidRPr="00760411">
              <w:rPr>
                <w:color w:val="000000"/>
                <w:sz w:val="20"/>
                <w:szCs w:val="20"/>
              </w:rPr>
              <w:t>)</w:t>
            </w:r>
          </w:p>
        </w:tc>
      </w:tr>
      <w:tr w:rsidR="00CF6B67" w:rsidRPr="00760411" w14:paraId="0738B069" w14:textId="77777777" w:rsidTr="00760411">
        <w:trPr>
          <w:trHeight w:val="252"/>
        </w:trPr>
        <w:tc>
          <w:tcPr>
            <w:tcW w:w="4253" w:type="dxa"/>
            <w:tcBorders>
              <w:top w:val="single" w:sz="4" w:space="0" w:color="auto"/>
              <w:left w:val="nil"/>
              <w:bottom w:val="double" w:sz="6" w:space="0" w:color="auto"/>
              <w:right w:val="nil"/>
            </w:tcBorders>
            <w:shd w:val="clear" w:color="auto" w:fill="auto"/>
            <w:vAlign w:val="bottom"/>
            <w:hideMark/>
          </w:tcPr>
          <w:p w14:paraId="7F95A064" w14:textId="2AD87370" w:rsidR="00CF6B67" w:rsidRPr="00760411" w:rsidRDefault="00CF6B67" w:rsidP="00CF6B67">
            <w:pPr>
              <w:rPr>
                <w:b/>
                <w:bCs/>
                <w:color w:val="000000"/>
                <w:sz w:val="20"/>
                <w:szCs w:val="20"/>
              </w:rPr>
            </w:pPr>
            <w:r w:rsidRPr="00760411">
              <w:rPr>
                <w:b/>
                <w:bCs/>
                <w:color w:val="000000"/>
                <w:sz w:val="20"/>
                <w:szCs w:val="20"/>
              </w:rPr>
              <w:t>Balance, June 30, 2021</w:t>
            </w:r>
          </w:p>
        </w:tc>
        <w:tc>
          <w:tcPr>
            <w:tcW w:w="1554" w:type="dxa"/>
            <w:tcBorders>
              <w:top w:val="single" w:sz="4" w:space="0" w:color="auto"/>
              <w:left w:val="nil"/>
              <w:bottom w:val="double" w:sz="6" w:space="0" w:color="auto"/>
              <w:right w:val="nil"/>
            </w:tcBorders>
            <w:shd w:val="clear" w:color="auto" w:fill="auto"/>
            <w:vAlign w:val="bottom"/>
            <w:hideMark/>
          </w:tcPr>
          <w:p w14:paraId="2A37150A" w14:textId="5FBCCFB4" w:rsidR="00CF6B67" w:rsidRPr="00760411" w:rsidRDefault="00CF6B67" w:rsidP="00CF6B67">
            <w:pPr>
              <w:jc w:val="right"/>
              <w:rPr>
                <w:color w:val="000000"/>
                <w:sz w:val="20"/>
                <w:szCs w:val="20"/>
              </w:rPr>
            </w:pPr>
            <w:r w:rsidRPr="00760411">
              <w:rPr>
                <w:color w:val="000000"/>
                <w:sz w:val="20"/>
                <w:szCs w:val="20"/>
              </w:rPr>
              <w:t>77,</w:t>
            </w:r>
            <w:r w:rsidR="00032420">
              <w:rPr>
                <w:color w:val="000000"/>
                <w:sz w:val="20"/>
                <w:szCs w:val="20"/>
              </w:rPr>
              <w:t>2</w:t>
            </w:r>
            <w:r w:rsidRPr="00760411">
              <w:rPr>
                <w:color w:val="000000"/>
                <w:sz w:val="20"/>
                <w:szCs w:val="20"/>
              </w:rPr>
              <w:t xml:space="preserve">29,007 </w:t>
            </w:r>
          </w:p>
        </w:tc>
        <w:tc>
          <w:tcPr>
            <w:tcW w:w="1135" w:type="dxa"/>
            <w:tcBorders>
              <w:top w:val="single" w:sz="4" w:space="0" w:color="auto"/>
              <w:left w:val="nil"/>
              <w:bottom w:val="double" w:sz="6" w:space="0" w:color="auto"/>
              <w:right w:val="nil"/>
            </w:tcBorders>
            <w:shd w:val="clear" w:color="auto" w:fill="auto"/>
            <w:vAlign w:val="bottom"/>
            <w:hideMark/>
          </w:tcPr>
          <w:p w14:paraId="1E2EEC17" w14:textId="69790434" w:rsidR="00CF6B67" w:rsidRPr="00760411" w:rsidRDefault="00CF6B67" w:rsidP="00CF6B67">
            <w:pPr>
              <w:jc w:val="right"/>
              <w:rPr>
                <w:color w:val="000000"/>
                <w:sz w:val="20"/>
                <w:szCs w:val="20"/>
              </w:rPr>
            </w:pPr>
            <w:r w:rsidRPr="00760411">
              <w:rPr>
                <w:color w:val="000000"/>
                <w:sz w:val="20"/>
                <w:szCs w:val="20"/>
              </w:rPr>
              <w:t>10,</w:t>
            </w:r>
            <w:r w:rsidR="00032420">
              <w:rPr>
                <w:color w:val="000000"/>
                <w:sz w:val="20"/>
                <w:szCs w:val="20"/>
              </w:rPr>
              <w:t>1</w:t>
            </w:r>
            <w:r w:rsidRPr="00760411">
              <w:rPr>
                <w:color w:val="000000"/>
                <w:sz w:val="20"/>
                <w:szCs w:val="20"/>
              </w:rPr>
              <w:t xml:space="preserve">14,309 </w:t>
            </w:r>
          </w:p>
        </w:tc>
        <w:tc>
          <w:tcPr>
            <w:tcW w:w="1172" w:type="dxa"/>
            <w:tcBorders>
              <w:top w:val="single" w:sz="4" w:space="0" w:color="auto"/>
              <w:left w:val="nil"/>
              <w:bottom w:val="double" w:sz="6" w:space="0" w:color="auto"/>
              <w:right w:val="nil"/>
            </w:tcBorders>
            <w:vAlign w:val="bottom"/>
          </w:tcPr>
          <w:p w14:paraId="648ED7AA" w14:textId="247046CB" w:rsidR="00CF6B67" w:rsidRPr="00760411" w:rsidRDefault="00CF6B67" w:rsidP="00CF6B67">
            <w:pPr>
              <w:jc w:val="right"/>
              <w:rPr>
                <w:color w:val="000000"/>
                <w:sz w:val="20"/>
                <w:szCs w:val="20"/>
              </w:rPr>
            </w:pPr>
            <w:r w:rsidRPr="00760411">
              <w:rPr>
                <w:color w:val="000000"/>
                <w:sz w:val="20"/>
                <w:szCs w:val="20"/>
              </w:rPr>
              <w:t xml:space="preserve">30,000 </w:t>
            </w:r>
          </w:p>
        </w:tc>
        <w:tc>
          <w:tcPr>
            <w:tcW w:w="1172" w:type="dxa"/>
            <w:tcBorders>
              <w:top w:val="single" w:sz="4" w:space="0" w:color="auto"/>
              <w:left w:val="nil"/>
              <w:bottom w:val="double" w:sz="6" w:space="0" w:color="auto"/>
              <w:right w:val="nil"/>
            </w:tcBorders>
            <w:shd w:val="clear" w:color="auto" w:fill="auto"/>
            <w:vAlign w:val="bottom"/>
            <w:hideMark/>
          </w:tcPr>
          <w:p w14:paraId="401A1FDF" w14:textId="5F93DA38" w:rsidR="00CF6B67" w:rsidRPr="00760411" w:rsidRDefault="00CF6B67" w:rsidP="00CF6B67">
            <w:pPr>
              <w:jc w:val="right"/>
              <w:rPr>
                <w:color w:val="000000"/>
                <w:sz w:val="20"/>
                <w:szCs w:val="20"/>
              </w:rPr>
            </w:pPr>
            <w:r w:rsidRPr="00760411">
              <w:rPr>
                <w:color w:val="000000"/>
                <w:sz w:val="20"/>
                <w:szCs w:val="20"/>
              </w:rPr>
              <w:t xml:space="preserve">800,559 </w:t>
            </w:r>
          </w:p>
        </w:tc>
        <w:tc>
          <w:tcPr>
            <w:tcW w:w="1388" w:type="dxa"/>
            <w:tcBorders>
              <w:top w:val="single" w:sz="4" w:space="0" w:color="auto"/>
              <w:left w:val="nil"/>
              <w:bottom w:val="double" w:sz="6" w:space="0" w:color="auto"/>
              <w:right w:val="nil"/>
            </w:tcBorders>
            <w:shd w:val="clear" w:color="auto" w:fill="auto"/>
            <w:vAlign w:val="bottom"/>
            <w:hideMark/>
          </w:tcPr>
          <w:p w14:paraId="45458108" w14:textId="767C9443" w:rsidR="00CF6B67" w:rsidRPr="00760411" w:rsidRDefault="00CF6B67" w:rsidP="00CF6B67">
            <w:pPr>
              <w:jc w:val="right"/>
              <w:rPr>
                <w:color w:val="000000"/>
                <w:sz w:val="20"/>
                <w:szCs w:val="20"/>
              </w:rPr>
            </w:pPr>
            <w:r w:rsidRPr="00760411">
              <w:rPr>
                <w:color w:val="000000"/>
                <w:sz w:val="20"/>
                <w:szCs w:val="20"/>
              </w:rPr>
              <w:t xml:space="preserve">73,403 </w:t>
            </w:r>
          </w:p>
        </w:tc>
        <w:tc>
          <w:tcPr>
            <w:tcW w:w="1372" w:type="dxa"/>
            <w:tcBorders>
              <w:top w:val="single" w:sz="4" w:space="0" w:color="auto"/>
              <w:left w:val="nil"/>
              <w:bottom w:val="double" w:sz="6" w:space="0" w:color="auto"/>
              <w:right w:val="nil"/>
            </w:tcBorders>
            <w:shd w:val="clear" w:color="auto" w:fill="auto"/>
            <w:vAlign w:val="bottom"/>
            <w:hideMark/>
          </w:tcPr>
          <w:p w14:paraId="1673F3A3" w14:textId="7FFCFD46" w:rsidR="00CF6B67" w:rsidRPr="00760411" w:rsidRDefault="00CF6B67" w:rsidP="00CF6B67">
            <w:pPr>
              <w:jc w:val="right"/>
              <w:rPr>
                <w:color w:val="000000"/>
                <w:sz w:val="20"/>
                <w:szCs w:val="20"/>
              </w:rPr>
            </w:pPr>
            <w:r w:rsidRPr="00760411">
              <w:rPr>
                <w:color w:val="000000"/>
                <w:sz w:val="20"/>
                <w:szCs w:val="20"/>
              </w:rPr>
              <w:t>(13,</w:t>
            </w:r>
            <w:r w:rsidR="00032420">
              <w:rPr>
                <w:color w:val="000000"/>
                <w:sz w:val="20"/>
                <w:szCs w:val="20"/>
              </w:rPr>
              <w:t>889,761</w:t>
            </w:r>
            <w:r w:rsidRPr="00760411">
              <w:rPr>
                <w:color w:val="000000"/>
                <w:sz w:val="20"/>
                <w:szCs w:val="20"/>
              </w:rPr>
              <w:t>)</w:t>
            </w:r>
          </w:p>
        </w:tc>
        <w:tc>
          <w:tcPr>
            <w:tcW w:w="1167" w:type="dxa"/>
            <w:tcBorders>
              <w:top w:val="single" w:sz="4" w:space="0" w:color="auto"/>
              <w:left w:val="nil"/>
              <w:bottom w:val="double" w:sz="6" w:space="0" w:color="auto"/>
              <w:right w:val="nil"/>
            </w:tcBorders>
            <w:shd w:val="clear" w:color="auto" w:fill="auto"/>
            <w:vAlign w:val="bottom"/>
            <w:hideMark/>
          </w:tcPr>
          <w:p w14:paraId="795684FC" w14:textId="132B4FD7" w:rsidR="00CF6B67" w:rsidRPr="00760411" w:rsidRDefault="00CF6B67" w:rsidP="00CF6B67">
            <w:pPr>
              <w:jc w:val="right"/>
              <w:rPr>
                <w:color w:val="000000"/>
                <w:sz w:val="20"/>
                <w:szCs w:val="20"/>
              </w:rPr>
            </w:pPr>
            <w:r w:rsidRPr="00760411">
              <w:rPr>
                <w:color w:val="000000"/>
                <w:sz w:val="20"/>
                <w:szCs w:val="20"/>
              </w:rPr>
              <w:t>(2,</w:t>
            </w:r>
            <w:r w:rsidR="00032420">
              <w:rPr>
                <w:color w:val="000000"/>
                <w:sz w:val="20"/>
                <w:szCs w:val="20"/>
              </w:rPr>
              <w:t>871</w:t>
            </w:r>
            <w:r w:rsidRPr="00760411">
              <w:rPr>
                <w:color w:val="000000"/>
                <w:sz w:val="20"/>
                <w:szCs w:val="20"/>
              </w:rPr>
              <w:t>,</w:t>
            </w:r>
            <w:r w:rsidR="00032420">
              <w:rPr>
                <w:color w:val="000000"/>
                <w:sz w:val="20"/>
                <w:szCs w:val="20"/>
              </w:rPr>
              <w:t>490</w:t>
            </w:r>
            <w:r w:rsidRPr="00760411">
              <w:rPr>
                <w:color w:val="000000"/>
                <w:sz w:val="20"/>
                <w:szCs w:val="20"/>
              </w:rPr>
              <w:t>)</w:t>
            </w:r>
          </w:p>
        </w:tc>
      </w:tr>
    </w:tbl>
    <w:p w14:paraId="1A5D0C24" w14:textId="77777777" w:rsidR="008B543B" w:rsidRDefault="008B543B" w:rsidP="00730AD9">
      <w:pPr>
        <w:jc w:val="center"/>
        <w:rPr>
          <w:sz w:val="20"/>
          <w:szCs w:val="20"/>
        </w:rPr>
      </w:pPr>
    </w:p>
    <w:p w14:paraId="0156EBBA" w14:textId="34BB8EAB" w:rsidR="00E03F07" w:rsidRPr="00CF6B67" w:rsidRDefault="00EC2C93" w:rsidP="00730AD9">
      <w:pPr>
        <w:jc w:val="center"/>
        <w:rPr>
          <w:sz w:val="20"/>
          <w:szCs w:val="20"/>
        </w:rPr>
        <w:sectPr w:rsidR="00E03F07" w:rsidRPr="00CF6B67" w:rsidSect="00CF6B67">
          <w:headerReference w:type="default" r:id="rId16"/>
          <w:pgSz w:w="15840" w:h="12240" w:orient="landscape"/>
          <w:pgMar w:top="1440" w:right="1440" w:bottom="1134" w:left="1440" w:header="708" w:footer="708" w:gutter="0"/>
          <w:cols w:space="708"/>
          <w:docGrid w:linePitch="360"/>
        </w:sectPr>
      </w:pPr>
      <w:r w:rsidRPr="00CF6B67">
        <w:rPr>
          <w:sz w:val="20"/>
          <w:szCs w:val="20"/>
        </w:rPr>
        <w:t xml:space="preserve">The accompany notes are an integral part of these </w:t>
      </w:r>
      <w:r w:rsidR="00D939E8" w:rsidRPr="00CF6B67">
        <w:rPr>
          <w:sz w:val="20"/>
          <w:szCs w:val="20"/>
        </w:rPr>
        <w:t xml:space="preserve">condensed </w:t>
      </w:r>
      <w:r w:rsidRPr="00CF6B67">
        <w:rPr>
          <w:sz w:val="20"/>
          <w:szCs w:val="20"/>
        </w:rPr>
        <w:t xml:space="preserve">consolidated </w:t>
      </w:r>
      <w:r w:rsidR="00D939E8" w:rsidRPr="00CF6B67">
        <w:rPr>
          <w:sz w:val="20"/>
          <w:szCs w:val="20"/>
        </w:rPr>
        <w:t xml:space="preserve">interim </w:t>
      </w:r>
      <w:r w:rsidR="00893781" w:rsidRPr="00CF6B67">
        <w:rPr>
          <w:sz w:val="20"/>
          <w:szCs w:val="20"/>
        </w:rPr>
        <w:t>f</w:t>
      </w:r>
      <w:r w:rsidRPr="00CF6B67">
        <w:rPr>
          <w:sz w:val="20"/>
          <w:szCs w:val="20"/>
        </w:rPr>
        <w:t>inancial statements.</w:t>
      </w:r>
    </w:p>
    <w:tbl>
      <w:tblPr>
        <w:tblW w:w="10180" w:type="dxa"/>
        <w:tblLayout w:type="fixed"/>
        <w:tblLook w:val="04A0" w:firstRow="1" w:lastRow="0" w:firstColumn="1" w:lastColumn="0" w:noHBand="0" w:noVBand="1"/>
      </w:tblPr>
      <w:tblGrid>
        <w:gridCol w:w="5491"/>
        <w:gridCol w:w="560"/>
        <w:gridCol w:w="1721"/>
        <w:gridCol w:w="400"/>
        <w:gridCol w:w="1503"/>
        <w:gridCol w:w="505"/>
      </w:tblGrid>
      <w:tr w:rsidR="00022BED" w:rsidRPr="00760411" w14:paraId="6F0684D3" w14:textId="77777777" w:rsidTr="00835C5B">
        <w:trPr>
          <w:gridAfter w:val="1"/>
          <w:wAfter w:w="505" w:type="dxa"/>
          <w:trHeight w:val="228"/>
        </w:trPr>
        <w:tc>
          <w:tcPr>
            <w:tcW w:w="5491" w:type="dxa"/>
            <w:tcBorders>
              <w:top w:val="double" w:sz="4" w:space="0" w:color="auto"/>
              <w:left w:val="nil"/>
              <w:bottom w:val="single" w:sz="4" w:space="0" w:color="auto"/>
              <w:right w:val="nil"/>
            </w:tcBorders>
            <w:shd w:val="clear" w:color="auto" w:fill="auto"/>
            <w:vAlign w:val="center"/>
            <w:hideMark/>
          </w:tcPr>
          <w:p w14:paraId="08701348" w14:textId="1BA878AF" w:rsidR="00022BED" w:rsidRPr="00760411" w:rsidRDefault="00022BED" w:rsidP="00BA2C24">
            <w:pPr>
              <w:rPr>
                <w:b/>
                <w:bCs/>
                <w:color w:val="000000"/>
                <w:sz w:val="20"/>
                <w:szCs w:val="20"/>
              </w:rPr>
            </w:pPr>
            <w:r w:rsidRPr="00760411">
              <w:rPr>
                <w:b/>
                <w:bCs/>
                <w:color w:val="000000"/>
                <w:sz w:val="20"/>
                <w:szCs w:val="20"/>
              </w:rPr>
              <w:lastRenderedPageBreak/>
              <w:t>For the six months ended June 30,</w:t>
            </w:r>
          </w:p>
        </w:tc>
        <w:tc>
          <w:tcPr>
            <w:tcW w:w="560" w:type="dxa"/>
            <w:tcBorders>
              <w:top w:val="double" w:sz="4" w:space="0" w:color="auto"/>
              <w:left w:val="nil"/>
              <w:bottom w:val="single" w:sz="4" w:space="0" w:color="auto"/>
              <w:right w:val="nil"/>
            </w:tcBorders>
            <w:shd w:val="clear" w:color="auto" w:fill="auto"/>
            <w:vAlign w:val="center"/>
            <w:hideMark/>
          </w:tcPr>
          <w:p w14:paraId="4EA064A2" w14:textId="77777777" w:rsidR="00022BED" w:rsidRPr="00760411" w:rsidRDefault="00022BED" w:rsidP="00BA2C24">
            <w:pPr>
              <w:rPr>
                <w:b/>
                <w:bCs/>
                <w:color w:val="000000"/>
                <w:sz w:val="20"/>
                <w:szCs w:val="20"/>
              </w:rPr>
            </w:pPr>
            <w:r w:rsidRPr="00760411">
              <w:rPr>
                <w:b/>
                <w:bCs/>
                <w:color w:val="000000"/>
                <w:sz w:val="20"/>
                <w:szCs w:val="20"/>
              </w:rPr>
              <w:t> </w:t>
            </w:r>
          </w:p>
        </w:tc>
        <w:tc>
          <w:tcPr>
            <w:tcW w:w="1721" w:type="dxa"/>
            <w:tcBorders>
              <w:top w:val="double" w:sz="4" w:space="0" w:color="auto"/>
              <w:left w:val="nil"/>
              <w:bottom w:val="single" w:sz="4" w:space="0" w:color="auto"/>
              <w:right w:val="nil"/>
            </w:tcBorders>
            <w:shd w:val="clear" w:color="auto" w:fill="auto"/>
            <w:vAlign w:val="center"/>
            <w:hideMark/>
          </w:tcPr>
          <w:p w14:paraId="7A416C85" w14:textId="77777777" w:rsidR="00022BED" w:rsidRPr="00760411" w:rsidRDefault="00022BED" w:rsidP="00BA2C24">
            <w:pPr>
              <w:jc w:val="right"/>
              <w:rPr>
                <w:b/>
                <w:bCs/>
                <w:color w:val="000000"/>
                <w:sz w:val="20"/>
                <w:szCs w:val="20"/>
              </w:rPr>
            </w:pPr>
            <w:r w:rsidRPr="00760411">
              <w:rPr>
                <w:b/>
                <w:bCs/>
                <w:color w:val="000000"/>
                <w:sz w:val="20"/>
                <w:szCs w:val="20"/>
              </w:rPr>
              <w:t>2021</w:t>
            </w:r>
          </w:p>
        </w:tc>
        <w:tc>
          <w:tcPr>
            <w:tcW w:w="400" w:type="dxa"/>
            <w:tcBorders>
              <w:top w:val="double" w:sz="4" w:space="0" w:color="auto"/>
              <w:left w:val="nil"/>
              <w:bottom w:val="single" w:sz="4" w:space="0" w:color="auto"/>
              <w:right w:val="nil"/>
            </w:tcBorders>
            <w:shd w:val="clear" w:color="auto" w:fill="auto"/>
            <w:vAlign w:val="center"/>
            <w:hideMark/>
          </w:tcPr>
          <w:p w14:paraId="3AED2A12" w14:textId="77777777" w:rsidR="00022BED" w:rsidRPr="00760411" w:rsidRDefault="00022BED" w:rsidP="00BA2C24">
            <w:pPr>
              <w:rPr>
                <w:b/>
                <w:bCs/>
                <w:color w:val="000000"/>
                <w:sz w:val="20"/>
                <w:szCs w:val="20"/>
              </w:rPr>
            </w:pPr>
            <w:r w:rsidRPr="00760411">
              <w:rPr>
                <w:b/>
                <w:bCs/>
                <w:color w:val="000000"/>
                <w:sz w:val="20"/>
                <w:szCs w:val="20"/>
              </w:rPr>
              <w:t> </w:t>
            </w:r>
          </w:p>
        </w:tc>
        <w:tc>
          <w:tcPr>
            <w:tcW w:w="1503" w:type="dxa"/>
            <w:tcBorders>
              <w:top w:val="double" w:sz="4" w:space="0" w:color="auto"/>
              <w:left w:val="nil"/>
              <w:bottom w:val="single" w:sz="4" w:space="0" w:color="auto"/>
              <w:right w:val="nil"/>
            </w:tcBorders>
            <w:shd w:val="clear" w:color="auto" w:fill="auto"/>
            <w:vAlign w:val="center"/>
            <w:hideMark/>
          </w:tcPr>
          <w:p w14:paraId="3773C2D7" w14:textId="77777777" w:rsidR="00022BED" w:rsidRPr="00760411" w:rsidRDefault="00022BED" w:rsidP="00BA2C24">
            <w:pPr>
              <w:jc w:val="right"/>
              <w:rPr>
                <w:b/>
                <w:bCs/>
                <w:color w:val="000000"/>
                <w:sz w:val="20"/>
                <w:szCs w:val="20"/>
              </w:rPr>
            </w:pPr>
            <w:r w:rsidRPr="00760411">
              <w:rPr>
                <w:b/>
                <w:bCs/>
                <w:color w:val="000000"/>
                <w:sz w:val="20"/>
                <w:szCs w:val="20"/>
              </w:rPr>
              <w:t>2020</w:t>
            </w:r>
          </w:p>
        </w:tc>
      </w:tr>
      <w:tr w:rsidR="00022BED" w:rsidRPr="00760411" w14:paraId="3BD2DB93" w14:textId="77777777" w:rsidTr="00835C5B">
        <w:trPr>
          <w:gridAfter w:val="1"/>
          <w:wAfter w:w="505" w:type="dxa"/>
          <w:trHeight w:val="180"/>
        </w:trPr>
        <w:tc>
          <w:tcPr>
            <w:tcW w:w="5491" w:type="dxa"/>
            <w:tcBorders>
              <w:top w:val="nil"/>
              <w:left w:val="nil"/>
              <w:bottom w:val="nil"/>
              <w:right w:val="nil"/>
            </w:tcBorders>
            <w:shd w:val="clear" w:color="auto" w:fill="auto"/>
            <w:vAlign w:val="center"/>
            <w:hideMark/>
          </w:tcPr>
          <w:p w14:paraId="682280DF" w14:textId="77777777" w:rsidR="00022BED" w:rsidRPr="00760411" w:rsidRDefault="00022BED" w:rsidP="00BA2C24">
            <w:pPr>
              <w:jc w:val="right"/>
              <w:rPr>
                <w:b/>
                <w:bCs/>
                <w:color w:val="000000"/>
                <w:sz w:val="20"/>
                <w:szCs w:val="20"/>
              </w:rPr>
            </w:pPr>
          </w:p>
        </w:tc>
        <w:tc>
          <w:tcPr>
            <w:tcW w:w="560" w:type="dxa"/>
            <w:tcBorders>
              <w:top w:val="nil"/>
              <w:left w:val="nil"/>
              <w:bottom w:val="nil"/>
              <w:right w:val="nil"/>
            </w:tcBorders>
            <w:shd w:val="clear" w:color="auto" w:fill="auto"/>
            <w:vAlign w:val="center"/>
            <w:hideMark/>
          </w:tcPr>
          <w:p w14:paraId="0EB6CC59"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vAlign w:val="center"/>
            <w:hideMark/>
          </w:tcPr>
          <w:p w14:paraId="15CA23F0" w14:textId="77777777" w:rsidR="00022BED" w:rsidRPr="00760411" w:rsidRDefault="00022BED" w:rsidP="00BA2C24">
            <w:pPr>
              <w:rPr>
                <w:sz w:val="20"/>
                <w:szCs w:val="20"/>
              </w:rPr>
            </w:pPr>
          </w:p>
        </w:tc>
        <w:tc>
          <w:tcPr>
            <w:tcW w:w="400" w:type="dxa"/>
            <w:tcBorders>
              <w:top w:val="nil"/>
              <w:left w:val="nil"/>
              <w:bottom w:val="nil"/>
              <w:right w:val="nil"/>
            </w:tcBorders>
            <w:shd w:val="clear" w:color="auto" w:fill="auto"/>
            <w:vAlign w:val="center"/>
            <w:hideMark/>
          </w:tcPr>
          <w:p w14:paraId="06D16B1C" w14:textId="77777777" w:rsidR="00022BED" w:rsidRPr="00760411" w:rsidRDefault="00022BED" w:rsidP="00BA2C24">
            <w:pPr>
              <w:rPr>
                <w:sz w:val="20"/>
                <w:szCs w:val="20"/>
              </w:rPr>
            </w:pPr>
          </w:p>
        </w:tc>
        <w:tc>
          <w:tcPr>
            <w:tcW w:w="1503" w:type="dxa"/>
            <w:tcBorders>
              <w:top w:val="nil"/>
              <w:left w:val="nil"/>
              <w:bottom w:val="nil"/>
              <w:right w:val="nil"/>
            </w:tcBorders>
            <w:shd w:val="clear" w:color="auto" w:fill="auto"/>
            <w:vAlign w:val="center"/>
            <w:hideMark/>
          </w:tcPr>
          <w:p w14:paraId="2B06B823" w14:textId="77777777" w:rsidR="00022BED" w:rsidRPr="00760411" w:rsidRDefault="00022BED" w:rsidP="00BA2C24">
            <w:pPr>
              <w:rPr>
                <w:sz w:val="20"/>
                <w:szCs w:val="20"/>
              </w:rPr>
            </w:pPr>
          </w:p>
        </w:tc>
      </w:tr>
      <w:tr w:rsidR="00022BED" w:rsidRPr="00760411" w14:paraId="69F3BADD"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33E6D79" w14:textId="77777777" w:rsidR="00022BED" w:rsidRPr="00760411" w:rsidRDefault="00022BED" w:rsidP="00BA2C24">
            <w:pPr>
              <w:rPr>
                <w:b/>
                <w:bCs/>
                <w:color w:val="000000"/>
                <w:sz w:val="20"/>
                <w:szCs w:val="20"/>
              </w:rPr>
            </w:pPr>
            <w:r w:rsidRPr="00760411">
              <w:rPr>
                <w:b/>
                <w:bCs/>
                <w:color w:val="000000"/>
                <w:sz w:val="20"/>
                <w:szCs w:val="20"/>
              </w:rPr>
              <w:t>CASH FROM OPERATING ACTIVITIES</w:t>
            </w:r>
          </w:p>
        </w:tc>
        <w:tc>
          <w:tcPr>
            <w:tcW w:w="560" w:type="dxa"/>
            <w:tcBorders>
              <w:top w:val="nil"/>
              <w:left w:val="nil"/>
              <w:bottom w:val="nil"/>
              <w:right w:val="nil"/>
            </w:tcBorders>
            <w:shd w:val="clear" w:color="auto" w:fill="auto"/>
            <w:vAlign w:val="center"/>
            <w:hideMark/>
          </w:tcPr>
          <w:p w14:paraId="2CFA70FB" w14:textId="77777777" w:rsidR="00022BED" w:rsidRPr="00760411" w:rsidRDefault="00022BED" w:rsidP="00BA2C24">
            <w:pPr>
              <w:rPr>
                <w:b/>
                <w:bCs/>
                <w:color w:val="000000"/>
                <w:sz w:val="20"/>
                <w:szCs w:val="20"/>
              </w:rPr>
            </w:pPr>
          </w:p>
        </w:tc>
        <w:tc>
          <w:tcPr>
            <w:tcW w:w="1721" w:type="dxa"/>
            <w:tcBorders>
              <w:top w:val="nil"/>
              <w:left w:val="nil"/>
              <w:bottom w:val="nil"/>
              <w:right w:val="nil"/>
            </w:tcBorders>
            <w:shd w:val="clear" w:color="auto" w:fill="auto"/>
            <w:vAlign w:val="center"/>
            <w:hideMark/>
          </w:tcPr>
          <w:p w14:paraId="1ECD259A" w14:textId="77777777" w:rsidR="00022BED" w:rsidRPr="00760411" w:rsidRDefault="00022BED" w:rsidP="00BA2C24">
            <w:pPr>
              <w:rPr>
                <w:sz w:val="20"/>
                <w:szCs w:val="20"/>
              </w:rPr>
            </w:pPr>
          </w:p>
        </w:tc>
        <w:tc>
          <w:tcPr>
            <w:tcW w:w="400" w:type="dxa"/>
            <w:tcBorders>
              <w:top w:val="nil"/>
              <w:left w:val="nil"/>
              <w:bottom w:val="nil"/>
              <w:right w:val="nil"/>
            </w:tcBorders>
            <w:shd w:val="clear" w:color="auto" w:fill="auto"/>
            <w:vAlign w:val="center"/>
            <w:hideMark/>
          </w:tcPr>
          <w:p w14:paraId="3F28454F" w14:textId="77777777" w:rsidR="00022BED" w:rsidRPr="00760411" w:rsidRDefault="00022BED" w:rsidP="00BA2C24">
            <w:pPr>
              <w:rPr>
                <w:sz w:val="20"/>
                <w:szCs w:val="20"/>
              </w:rPr>
            </w:pPr>
          </w:p>
        </w:tc>
        <w:tc>
          <w:tcPr>
            <w:tcW w:w="1503" w:type="dxa"/>
            <w:tcBorders>
              <w:top w:val="nil"/>
              <w:left w:val="nil"/>
              <w:bottom w:val="nil"/>
              <w:right w:val="nil"/>
            </w:tcBorders>
            <w:shd w:val="clear" w:color="auto" w:fill="auto"/>
            <w:vAlign w:val="center"/>
            <w:hideMark/>
          </w:tcPr>
          <w:p w14:paraId="06F7C2AA" w14:textId="77777777" w:rsidR="00022BED" w:rsidRPr="00760411" w:rsidRDefault="00022BED" w:rsidP="00BA2C24">
            <w:pPr>
              <w:rPr>
                <w:sz w:val="20"/>
                <w:szCs w:val="20"/>
              </w:rPr>
            </w:pPr>
          </w:p>
        </w:tc>
      </w:tr>
      <w:tr w:rsidR="00022BED" w:rsidRPr="00760411" w14:paraId="25E7C593"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46549896" w14:textId="77777777" w:rsidR="00022BED" w:rsidRPr="00760411" w:rsidRDefault="00022BED" w:rsidP="00BA2C24">
            <w:pPr>
              <w:ind w:firstLineChars="100" w:firstLine="200"/>
              <w:rPr>
                <w:color w:val="000000"/>
                <w:sz w:val="20"/>
                <w:szCs w:val="20"/>
              </w:rPr>
            </w:pPr>
            <w:r w:rsidRPr="00760411">
              <w:rPr>
                <w:color w:val="000000"/>
                <w:sz w:val="20"/>
                <w:szCs w:val="20"/>
              </w:rPr>
              <w:t>Net loss for the period</w:t>
            </w:r>
          </w:p>
        </w:tc>
        <w:tc>
          <w:tcPr>
            <w:tcW w:w="560" w:type="dxa"/>
            <w:tcBorders>
              <w:top w:val="nil"/>
              <w:left w:val="nil"/>
              <w:bottom w:val="nil"/>
              <w:right w:val="nil"/>
            </w:tcBorders>
            <w:shd w:val="clear" w:color="auto" w:fill="auto"/>
            <w:noWrap/>
            <w:vAlign w:val="center"/>
            <w:hideMark/>
          </w:tcPr>
          <w:p w14:paraId="366E8656" w14:textId="77777777" w:rsidR="00022BED" w:rsidRPr="00760411" w:rsidRDefault="00022BED" w:rsidP="00BA2C24">
            <w:pPr>
              <w:jc w:val="right"/>
              <w:rPr>
                <w:color w:val="000000"/>
                <w:sz w:val="20"/>
                <w:szCs w:val="20"/>
              </w:rPr>
            </w:pPr>
            <w:r w:rsidRPr="00760411">
              <w:rPr>
                <w:color w:val="000000"/>
                <w:sz w:val="20"/>
                <w:szCs w:val="20"/>
              </w:rPr>
              <w:t>$</w:t>
            </w:r>
          </w:p>
        </w:tc>
        <w:tc>
          <w:tcPr>
            <w:tcW w:w="1721" w:type="dxa"/>
            <w:tcBorders>
              <w:top w:val="nil"/>
              <w:left w:val="nil"/>
              <w:bottom w:val="nil"/>
              <w:right w:val="nil"/>
            </w:tcBorders>
            <w:shd w:val="clear" w:color="auto" w:fill="auto"/>
            <w:noWrap/>
            <w:vAlign w:val="center"/>
            <w:hideMark/>
          </w:tcPr>
          <w:p w14:paraId="492474E6" w14:textId="3210AA95" w:rsidR="00022BED" w:rsidRPr="00760411" w:rsidRDefault="00022BED" w:rsidP="00BA2C24">
            <w:pPr>
              <w:jc w:val="right"/>
              <w:rPr>
                <w:color w:val="000000"/>
                <w:sz w:val="20"/>
                <w:szCs w:val="20"/>
              </w:rPr>
            </w:pPr>
            <w:r w:rsidRPr="00760411">
              <w:rPr>
                <w:color w:val="000000"/>
                <w:sz w:val="20"/>
                <w:szCs w:val="20"/>
              </w:rPr>
              <w:t>(</w:t>
            </w:r>
            <w:r w:rsidR="00C72D71" w:rsidRPr="00760411">
              <w:rPr>
                <w:color w:val="000000"/>
                <w:sz w:val="20"/>
                <w:szCs w:val="20"/>
              </w:rPr>
              <w:t>2,</w:t>
            </w:r>
            <w:r w:rsidR="00286F5B">
              <w:rPr>
                <w:color w:val="000000"/>
                <w:sz w:val="20"/>
                <w:szCs w:val="20"/>
              </w:rPr>
              <w:t>651,797</w:t>
            </w:r>
            <w:r w:rsidR="00C72D71" w:rsidRPr="00760411">
              <w:rPr>
                <w:color w:val="000000"/>
                <w:sz w:val="20"/>
                <w:szCs w:val="20"/>
              </w:rPr>
              <w:t>)</w:t>
            </w:r>
          </w:p>
        </w:tc>
        <w:tc>
          <w:tcPr>
            <w:tcW w:w="400" w:type="dxa"/>
            <w:tcBorders>
              <w:top w:val="nil"/>
              <w:left w:val="nil"/>
              <w:bottom w:val="nil"/>
              <w:right w:val="nil"/>
            </w:tcBorders>
            <w:shd w:val="clear" w:color="auto" w:fill="auto"/>
            <w:noWrap/>
            <w:vAlign w:val="center"/>
            <w:hideMark/>
          </w:tcPr>
          <w:p w14:paraId="16A5655D" w14:textId="77777777" w:rsidR="00022BED" w:rsidRPr="00760411" w:rsidRDefault="00022BED" w:rsidP="00BA2C24">
            <w:pPr>
              <w:jc w:val="right"/>
              <w:rPr>
                <w:color w:val="000000"/>
                <w:sz w:val="20"/>
                <w:szCs w:val="20"/>
              </w:rPr>
            </w:pPr>
            <w:r w:rsidRPr="00760411">
              <w:rPr>
                <w:color w:val="000000"/>
                <w:sz w:val="20"/>
                <w:szCs w:val="20"/>
              </w:rPr>
              <w:t>$</w:t>
            </w:r>
          </w:p>
        </w:tc>
        <w:tc>
          <w:tcPr>
            <w:tcW w:w="1503" w:type="dxa"/>
            <w:tcBorders>
              <w:top w:val="nil"/>
              <w:left w:val="nil"/>
              <w:bottom w:val="nil"/>
              <w:right w:val="nil"/>
            </w:tcBorders>
            <w:shd w:val="clear" w:color="auto" w:fill="auto"/>
            <w:noWrap/>
            <w:vAlign w:val="center"/>
            <w:hideMark/>
          </w:tcPr>
          <w:p w14:paraId="622E510A" w14:textId="0EA9CBDC" w:rsidR="00022BED" w:rsidRPr="00760411" w:rsidRDefault="00022BED" w:rsidP="00BA2C24">
            <w:pPr>
              <w:jc w:val="right"/>
              <w:rPr>
                <w:color w:val="000000"/>
                <w:sz w:val="20"/>
                <w:szCs w:val="20"/>
              </w:rPr>
            </w:pPr>
            <w:r w:rsidRPr="00760411">
              <w:rPr>
                <w:color w:val="000000"/>
                <w:sz w:val="20"/>
                <w:szCs w:val="20"/>
              </w:rPr>
              <w:t>(1,550,684)</w:t>
            </w:r>
          </w:p>
        </w:tc>
      </w:tr>
      <w:tr w:rsidR="00022BED" w:rsidRPr="00760411" w14:paraId="749BB835"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4793632E" w14:textId="77777777" w:rsidR="00022BED" w:rsidRPr="00760411" w:rsidRDefault="00022BED" w:rsidP="00BA2C24">
            <w:pPr>
              <w:ind w:firstLineChars="100" w:firstLine="200"/>
              <w:rPr>
                <w:color w:val="000000"/>
                <w:sz w:val="20"/>
                <w:szCs w:val="20"/>
              </w:rPr>
            </w:pPr>
            <w:r w:rsidRPr="00760411">
              <w:rPr>
                <w:color w:val="000000"/>
                <w:sz w:val="20"/>
                <w:szCs w:val="20"/>
              </w:rPr>
              <w:t>Items not affecting cash:</w:t>
            </w:r>
          </w:p>
        </w:tc>
        <w:tc>
          <w:tcPr>
            <w:tcW w:w="560" w:type="dxa"/>
            <w:tcBorders>
              <w:top w:val="nil"/>
              <w:left w:val="nil"/>
              <w:bottom w:val="nil"/>
              <w:right w:val="nil"/>
            </w:tcBorders>
            <w:shd w:val="clear" w:color="auto" w:fill="auto"/>
            <w:noWrap/>
            <w:vAlign w:val="center"/>
            <w:hideMark/>
          </w:tcPr>
          <w:p w14:paraId="7C50C030" w14:textId="77777777" w:rsidR="00022BED" w:rsidRPr="00760411" w:rsidRDefault="00022BED"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40E9E188"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677DEE0E"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65226C25" w14:textId="77777777" w:rsidR="00022BED" w:rsidRPr="00760411" w:rsidRDefault="00022BED" w:rsidP="00BA2C24">
            <w:pPr>
              <w:jc w:val="right"/>
              <w:rPr>
                <w:sz w:val="20"/>
                <w:szCs w:val="20"/>
              </w:rPr>
            </w:pPr>
          </w:p>
        </w:tc>
      </w:tr>
      <w:tr w:rsidR="00C72D71" w:rsidRPr="00760411" w14:paraId="4B48D769"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14F6B142" w14:textId="77777777" w:rsidR="00C72D71" w:rsidRPr="00760411" w:rsidRDefault="00C72D71" w:rsidP="00C72D71">
            <w:pPr>
              <w:ind w:firstLineChars="200" w:firstLine="400"/>
              <w:rPr>
                <w:color w:val="000000"/>
                <w:sz w:val="20"/>
                <w:szCs w:val="20"/>
              </w:rPr>
            </w:pPr>
            <w:r w:rsidRPr="00760411">
              <w:rPr>
                <w:color w:val="000000"/>
                <w:sz w:val="20"/>
                <w:szCs w:val="20"/>
              </w:rPr>
              <w:t>Amortization</w:t>
            </w:r>
          </w:p>
        </w:tc>
        <w:tc>
          <w:tcPr>
            <w:tcW w:w="560" w:type="dxa"/>
            <w:tcBorders>
              <w:top w:val="nil"/>
              <w:left w:val="nil"/>
              <w:bottom w:val="nil"/>
              <w:right w:val="nil"/>
            </w:tcBorders>
            <w:shd w:val="clear" w:color="auto" w:fill="auto"/>
            <w:noWrap/>
            <w:vAlign w:val="center"/>
            <w:hideMark/>
          </w:tcPr>
          <w:p w14:paraId="56FAE8F2"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72C7800D" w14:textId="543A6DC1" w:rsidR="00C72D71" w:rsidRPr="00760411" w:rsidRDefault="00C72D71" w:rsidP="00C72D71">
            <w:pPr>
              <w:jc w:val="right"/>
              <w:rPr>
                <w:color w:val="000000"/>
                <w:sz w:val="20"/>
                <w:szCs w:val="20"/>
              </w:rPr>
            </w:pPr>
            <w:r w:rsidRPr="00760411">
              <w:rPr>
                <w:color w:val="000000"/>
                <w:sz w:val="20"/>
                <w:szCs w:val="20"/>
              </w:rPr>
              <w:t>89,</w:t>
            </w:r>
            <w:r w:rsidR="00957F7A" w:rsidRPr="00760411">
              <w:rPr>
                <w:color w:val="000000"/>
                <w:sz w:val="20"/>
                <w:szCs w:val="20"/>
              </w:rPr>
              <w:t>562</w:t>
            </w:r>
          </w:p>
        </w:tc>
        <w:tc>
          <w:tcPr>
            <w:tcW w:w="400" w:type="dxa"/>
            <w:tcBorders>
              <w:top w:val="nil"/>
              <w:left w:val="nil"/>
              <w:bottom w:val="nil"/>
              <w:right w:val="nil"/>
            </w:tcBorders>
            <w:shd w:val="clear" w:color="auto" w:fill="auto"/>
            <w:noWrap/>
            <w:vAlign w:val="center"/>
            <w:hideMark/>
          </w:tcPr>
          <w:p w14:paraId="6A886164"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0D0D1E1C" w14:textId="258B72E7" w:rsidR="00C72D71" w:rsidRPr="00760411" w:rsidRDefault="00C72D71" w:rsidP="00C72D71">
            <w:pPr>
              <w:jc w:val="right"/>
              <w:rPr>
                <w:color w:val="000000"/>
                <w:sz w:val="20"/>
                <w:szCs w:val="20"/>
              </w:rPr>
            </w:pPr>
            <w:r w:rsidRPr="00760411">
              <w:rPr>
                <w:sz w:val="20"/>
                <w:szCs w:val="20"/>
              </w:rPr>
              <w:t>128,003</w:t>
            </w:r>
          </w:p>
        </w:tc>
      </w:tr>
      <w:tr w:rsidR="00C72D71" w:rsidRPr="00760411" w14:paraId="3E858AE0"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447CBCAC" w14:textId="77777777" w:rsidR="00C72D71" w:rsidRPr="00760411" w:rsidRDefault="00C72D71" w:rsidP="00C72D71">
            <w:pPr>
              <w:ind w:firstLineChars="200" w:firstLine="400"/>
              <w:rPr>
                <w:color w:val="000000"/>
                <w:sz w:val="20"/>
                <w:szCs w:val="20"/>
              </w:rPr>
            </w:pPr>
            <w:r w:rsidRPr="00760411">
              <w:rPr>
                <w:color w:val="000000"/>
                <w:sz w:val="20"/>
                <w:szCs w:val="20"/>
              </w:rPr>
              <w:t>Accrued interest on bonds payable</w:t>
            </w:r>
          </w:p>
        </w:tc>
        <w:tc>
          <w:tcPr>
            <w:tcW w:w="560" w:type="dxa"/>
            <w:tcBorders>
              <w:top w:val="nil"/>
              <w:left w:val="nil"/>
              <w:bottom w:val="nil"/>
              <w:right w:val="nil"/>
            </w:tcBorders>
            <w:shd w:val="clear" w:color="auto" w:fill="auto"/>
            <w:noWrap/>
            <w:vAlign w:val="center"/>
            <w:hideMark/>
          </w:tcPr>
          <w:p w14:paraId="005EF10C"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555215AD" w14:textId="64B1BD57" w:rsidR="00C72D71" w:rsidRPr="00760411" w:rsidRDefault="00C72D71" w:rsidP="00C72D71">
            <w:pPr>
              <w:jc w:val="right"/>
              <w:rPr>
                <w:color w:val="000000"/>
                <w:sz w:val="20"/>
                <w:szCs w:val="20"/>
              </w:rPr>
            </w:pPr>
            <w:r w:rsidRPr="00760411">
              <w:rPr>
                <w:color w:val="000000"/>
                <w:sz w:val="20"/>
                <w:szCs w:val="20"/>
              </w:rPr>
              <w:t>6,095</w:t>
            </w:r>
          </w:p>
        </w:tc>
        <w:tc>
          <w:tcPr>
            <w:tcW w:w="400" w:type="dxa"/>
            <w:tcBorders>
              <w:top w:val="nil"/>
              <w:left w:val="nil"/>
              <w:bottom w:val="nil"/>
              <w:right w:val="nil"/>
            </w:tcBorders>
            <w:shd w:val="clear" w:color="auto" w:fill="auto"/>
            <w:noWrap/>
            <w:vAlign w:val="center"/>
            <w:hideMark/>
          </w:tcPr>
          <w:p w14:paraId="49167028"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7CD97C61" w14:textId="381E8B59" w:rsidR="00C72D71" w:rsidRPr="00760411" w:rsidRDefault="00C72D71" w:rsidP="00C72D71">
            <w:pPr>
              <w:jc w:val="right"/>
              <w:rPr>
                <w:color w:val="000000"/>
                <w:sz w:val="20"/>
                <w:szCs w:val="20"/>
              </w:rPr>
            </w:pPr>
            <w:r w:rsidRPr="00760411">
              <w:rPr>
                <w:sz w:val="20"/>
                <w:szCs w:val="20"/>
              </w:rPr>
              <w:t>35,901</w:t>
            </w:r>
          </w:p>
        </w:tc>
      </w:tr>
      <w:tr w:rsidR="00C72D71" w:rsidRPr="00760411" w14:paraId="465E2051"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42D941C" w14:textId="77777777" w:rsidR="00C72D71" w:rsidRPr="00760411" w:rsidRDefault="00C72D71" w:rsidP="00C72D71">
            <w:pPr>
              <w:ind w:firstLineChars="200" w:firstLine="400"/>
              <w:rPr>
                <w:color w:val="000000"/>
                <w:sz w:val="20"/>
                <w:szCs w:val="20"/>
              </w:rPr>
            </w:pPr>
            <w:r w:rsidRPr="00760411">
              <w:rPr>
                <w:color w:val="000000"/>
                <w:sz w:val="20"/>
                <w:szCs w:val="20"/>
              </w:rPr>
              <w:t xml:space="preserve">Lease accretion </w:t>
            </w:r>
          </w:p>
        </w:tc>
        <w:tc>
          <w:tcPr>
            <w:tcW w:w="560" w:type="dxa"/>
            <w:tcBorders>
              <w:top w:val="nil"/>
              <w:left w:val="nil"/>
              <w:bottom w:val="nil"/>
              <w:right w:val="nil"/>
            </w:tcBorders>
            <w:shd w:val="clear" w:color="auto" w:fill="auto"/>
            <w:noWrap/>
            <w:vAlign w:val="center"/>
            <w:hideMark/>
          </w:tcPr>
          <w:p w14:paraId="0397BCC2"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6F3115FF" w14:textId="17E8D098" w:rsidR="00C72D71" w:rsidRPr="00760411" w:rsidRDefault="00C72D71" w:rsidP="00C72D71">
            <w:pPr>
              <w:jc w:val="right"/>
              <w:rPr>
                <w:color w:val="000000"/>
                <w:sz w:val="20"/>
                <w:szCs w:val="20"/>
              </w:rPr>
            </w:pPr>
            <w:r w:rsidRPr="00760411">
              <w:rPr>
                <w:color w:val="000000"/>
                <w:sz w:val="20"/>
                <w:szCs w:val="20"/>
              </w:rPr>
              <w:t>12,124</w:t>
            </w:r>
          </w:p>
        </w:tc>
        <w:tc>
          <w:tcPr>
            <w:tcW w:w="400" w:type="dxa"/>
            <w:tcBorders>
              <w:top w:val="nil"/>
              <w:left w:val="nil"/>
              <w:bottom w:val="nil"/>
              <w:right w:val="nil"/>
            </w:tcBorders>
            <w:shd w:val="clear" w:color="auto" w:fill="auto"/>
            <w:noWrap/>
            <w:vAlign w:val="center"/>
            <w:hideMark/>
          </w:tcPr>
          <w:p w14:paraId="4925C854"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9831F8C" w14:textId="59C8B76D" w:rsidR="00C72D71" w:rsidRPr="00760411" w:rsidRDefault="00C72D71" w:rsidP="00C72D71">
            <w:pPr>
              <w:jc w:val="right"/>
              <w:rPr>
                <w:color w:val="000000"/>
                <w:sz w:val="20"/>
                <w:szCs w:val="20"/>
              </w:rPr>
            </w:pPr>
            <w:r w:rsidRPr="00760411">
              <w:rPr>
                <w:sz w:val="20"/>
                <w:szCs w:val="20"/>
              </w:rPr>
              <w:t>20,408</w:t>
            </w:r>
          </w:p>
        </w:tc>
      </w:tr>
      <w:tr w:rsidR="00C72D71" w:rsidRPr="00760411" w14:paraId="3C961A7E"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40A90D4" w14:textId="77777777" w:rsidR="00C72D71" w:rsidRPr="00760411" w:rsidRDefault="00C72D71" w:rsidP="00C72D71">
            <w:pPr>
              <w:ind w:firstLineChars="200" w:firstLine="400"/>
              <w:rPr>
                <w:color w:val="000000"/>
                <w:sz w:val="20"/>
                <w:szCs w:val="20"/>
              </w:rPr>
            </w:pPr>
            <w:r w:rsidRPr="00760411">
              <w:rPr>
                <w:color w:val="000000"/>
                <w:sz w:val="20"/>
                <w:szCs w:val="20"/>
              </w:rPr>
              <w:t>Share based payments (Note 14)</w:t>
            </w:r>
          </w:p>
        </w:tc>
        <w:tc>
          <w:tcPr>
            <w:tcW w:w="560" w:type="dxa"/>
            <w:tcBorders>
              <w:top w:val="nil"/>
              <w:left w:val="nil"/>
              <w:bottom w:val="nil"/>
              <w:right w:val="nil"/>
            </w:tcBorders>
            <w:shd w:val="clear" w:color="auto" w:fill="auto"/>
            <w:noWrap/>
            <w:vAlign w:val="center"/>
            <w:hideMark/>
          </w:tcPr>
          <w:p w14:paraId="4462E0D8"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2058916B" w14:textId="161CD6D3" w:rsidR="00C72D71" w:rsidRPr="00760411" w:rsidRDefault="00C72D71" w:rsidP="00C72D71">
            <w:pPr>
              <w:jc w:val="right"/>
              <w:rPr>
                <w:color w:val="000000"/>
                <w:sz w:val="20"/>
                <w:szCs w:val="20"/>
              </w:rPr>
            </w:pPr>
            <w:r w:rsidRPr="00760411">
              <w:rPr>
                <w:color w:val="000000"/>
                <w:sz w:val="20"/>
                <w:szCs w:val="20"/>
              </w:rPr>
              <w:t>252,478</w:t>
            </w:r>
          </w:p>
        </w:tc>
        <w:tc>
          <w:tcPr>
            <w:tcW w:w="400" w:type="dxa"/>
            <w:tcBorders>
              <w:top w:val="nil"/>
              <w:left w:val="nil"/>
              <w:bottom w:val="nil"/>
              <w:right w:val="nil"/>
            </w:tcBorders>
            <w:shd w:val="clear" w:color="auto" w:fill="auto"/>
            <w:noWrap/>
            <w:vAlign w:val="center"/>
            <w:hideMark/>
          </w:tcPr>
          <w:p w14:paraId="00CF6C46"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307967F6" w14:textId="54B4B4CB" w:rsidR="00C72D71" w:rsidRPr="00760411" w:rsidRDefault="00C72D71" w:rsidP="00C72D71">
            <w:pPr>
              <w:jc w:val="right"/>
              <w:rPr>
                <w:color w:val="000000"/>
                <w:sz w:val="20"/>
                <w:szCs w:val="20"/>
              </w:rPr>
            </w:pPr>
            <w:r w:rsidRPr="00760411">
              <w:rPr>
                <w:sz w:val="20"/>
                <w:szCs w:val="20"/>
              </w:rPr>
              <w:t>113,143</w:t>
            </w:r>
          </w:p>
        </w:tc>
      </w:tr>
      <w:tr w:rsidR="00C72D71" w:rsidRPr="00760411" w14:paraId="4CC170AB" w14:textId="77777777" w:rsidTr="00835C5B">
        <w:trPr>
          <w:gridAfter w:val="1"/>
          <w:wAfter w:w="505" w:type="dxa"/>
          <w:trHeight w:val="228"/>
        </w:trPr>
        <w:tc>
          <w:tcPr>
            <w:tcW w:w="5491" w:type="dxa"/>
            <w:tcBorders>
              <w:top w:val="nil"/>
              <w:left w:val="nil"/>
              <w:bottom w:val="nil"/>
              <w:right w:val="nil"/>
            </w:tcBorders>
            <w:shd w:val="clear" w:color="auto" w:fill="auto"/>
            <w:vAlign w:val="center"/>
          </w:tcPr>
          <w:p w14:paraId="4C95209A" w14:textId="29208E98" w:rsidR="00C72D71" w:rsidRPr="00760411" w:rsidRDefault="00C72D71" w:rsidP="00BA2C24">
            <w:pPr>
              <w:ind w:firstLineChars="200" w:firstLine="400"/>
              <w:rPr>
                <w:color w:val="000000"/>
                <w:sz w:val="20"/>
                <w:szCs w:val="20"/>
              </w:rPr>
            </w:pPr>
            <w:r w:rsidRPr="00760411">
              <w:rPr>
                <w:color w:val="000000"/>
                <w:sz w:val="20"/>
                <w:szCs w:val="20"/>
              </w:rPr>
              <w:t xml:space="preserve">Shares </w:t>
            </w:r>
            <w:r w:rsidR="00B75725" w:rsidRPr="00760411">
              <w:rPr>
                <w:color w:val="000000"/>
                <w:sz w:val="20"/>
                <w:szCs w:val="20"/>
              </w:rPr>
              <w:t xml:space="preserve">issued and </w:t>
            </w:r>
            <w:r w:rsidRPr="00760411">
              <w:rPr>
                <w:color w:val="000000"/>
                <w:sz w:val="20"/>
                <w:szCs w:val="20"/>
              </w:rPr>
              <w:t>issuable for marketing campaign</w:t>
            </w:r>
          </w:p>
        </w:tc>
        <w:tc>
          <w:tcPr>
            <w:tcW w:w="560" w:type="dxa"/>
            <w:tcBorders>
              <w:top w:val="nil"/>
              <w:left w:val="nil"/>
              <w:bottom w:val="nil"/>
              <w:right w:val="nil"/>
            </w:tcBorders>
            <w:shd w:val="clear" w:color="auto" w:fill="auto"/>
            <w:noWrap/>
            <w:vAlign w:val="center"/>
          </w:tcPr>
          <w:p w14:paraId="10108AB7" w14:textId="77777777" w:rsidR="00C72D71" w:rsidRPr="00760411" w:rsidRDefault="00C72D71"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tcPr>
          <w:p w14:paraId="65A64EFE" w14:textId="1FBEE120" w:rsidR="00C72D71" w:rsidRPr="00760411" w:rsidRDefault="00B75725" w:rsidP="00BA2C24">
            <w:pPr>
              <w:jc w:val="right"/>
              <w:rPr>
                <w:color w:val="000000"/>
                <w:sz w:val="20"/>
                <w:szCs w:val="20"/>
              </w:rPr>
            </w:pPr>
            <w:r w:rsidRPr="00760411">
              <w:rPr>
                <w:color w:val="000000"/>
                <w:sz w:val="20"/>
                <w:szCs w:val="20"/>
              </w:rPr>
              <w:t>45</w:t>
            </w:r>
            <w:r w:rsidR="00C72D71" w:rsidRPr="00760411">
              <w:rPr>
                <w:color w:val="000000"/>
                <w:sz w:val="20"/>
                <w:szCs w:val="20"/>
              </w:rPr>
              <w:t>,000</w:t>
            </w:r>
          </w:p>
        </w:tc>
        <w:tc>
          <w:tcPr>
            <w:tcW w:w="400" w:type="dxa"/>
            <w:tcBorders>
              <w:top w:val="nil"/>
              <w:left w:val="nil"/>
              <w:bottom w:val="nil"/>
              <w:right w:val="nil"/>
            </w:tcBorders>
            <w:shd w:val="clear" w:color="auto" w:fill="auto"/>
            <w:noWrap/>
            <w:vAlign w:val="center"/>
          </w:tcPr>
          <w:p w14:paraId="38314F2D"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tcPr>
          <w:p w14:paraId="56B73036" w14:textId="02A623A5" w:rsidR="00C72D71" w:rsidRPr="00760411" w:rsidRDefault="00C72D71" w:rsidP="00BA2C24">
            <w:pPr>
              <w:jc w:val="right"/>
              <w:rPr>
                <w:color w:val="000000"/>
                <w:sz w:val="20"/>
                <w:szCs w:val="20"/>
              </w:rPr>
            </w:pPr>
            <w:r w:rsidRPr="00760411">
              <w:rPr>
                <w:color w:val="000000"/>
                <w:sz w:val="20"/>
                <w:szCs w:val="20"/>
              </w:rPr>
              <w:t>-</w:t>
            </w:r>
          </w:p>
        </w:tc>
      </w:tr>
      <w:tr w:rsidR="00C72D71" w:rsidRPr="00760411" w14:paraId="5FBCD912"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7F716D09" w14:textId="78CF3DF9" w:rsidR="00C72D71" w:rsidRPr="00760411" w:rsidRDefault="00C72D71" w:rsidP="00C72D71">
            <w:pPr>
              <w:ind w:firstLineChars="200" w:firstLine="400"/>
              <w:rPr>
                <w:color w:val="000000"/>
                <w:sz w:val="20"/>
                <w:szCs w:val="20"/>
              </w:rPr>
            </w:pPr>
            <w:r w:rsidRPr="00760411">
              <w:rPr>
                <w:color w:val="000000"/>
                <w:sz w:val="20"/>
                <w:szCs w:val="20"/>
              </w:rPr>
              <w:t xml:space="preserve">Accretion on convertible debentures (Note </w:t>
            </w:r>
            <w:r w:rsidR="00B75725" w:rsidRPr="00760411">
              <w:rPr>
                <w:color w:val="000000"/>
                <w:sz w:val="20"/>
                <w:szCs w:val="20"/>
              </w:rPr>
              <w:t>10</w:t>
            </w:r>
            <w:r w:rsidRPr="00760411">
              <w:rPr>
                <w:color w:val="000000"/>
                <w:sz w:val="20"/>
                <w:szCs w:val="20"/>
              </w:rPr>
              <w:t>)</w:t>
            </w:r>
          </w:p>
        </w:tc>
        <w:tc>
          <w:tcPr>
            <w:tcW w:w="560" w:type="dxa"/>
            <w:tcBorders>
              <w:top w:val="nil"/>
              <w:left w:val="nil"/>
              <w:bottom w:val="nil"/>
              <w:right w:val="nil"/>
            </w:tcBorders>
            <w:shd w:val="clear" w:color="auto" w:fill="auto"/>
            <w:noWrap/>
            <w:vAlign w:val="center"/>
            <w:hideMark/>
          </w:tcPr>
          <w:p w14:paraId="3D70F1B9"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30F61F00" w14:textId="3AE81FE5" w:rsidR="00C72D71" w:rsidRPr="00760411" w:rsidRDefault="00C72D71" w:rsidP="00C72D71">
            <w:pPr>
              <w:jc w:val="right"/>
              <w:rPr>
                <w:color w:val="000000"/>
                <w:sz w:val="20"/>
                <w:szCs w:val="20"/>
              </w:rPr>
            </w:pPr>
            <w:r w:rsidRPr="00760411">
              <w:rPr>
                <w:color w:val="000000"/>
                <w:sz w:val="20"/>
                <w:szCs w:val="20"/>
              </w:rPr>
              <w:t>21,851</w:t>
            </w:r>
          </w:p>
        </w:tc>
        <w:tc>
          <w:tcPr>
            <w:tcW w:w="400" w:type="dxa"/>
            <w:tcBorders>
              <w:top w:val="nil"/>
              <w:left w:val="nil"/>
              <w:bottom w:val="nil"/>
              <w:right w:val="nil"/>
            </w:tcBorders>
            <w:shd w:val="clear" w:color="auto" w:fill="auto"/>
            <w:noWrap/>
            <w:vAlign w:val="center"/>
            <w:hideMark/>
          </w:tcPr>
          <w:p w14:paraId="6D0FFFD7"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19D6C7D4" w14:textId="21A9A512" w:rsidR="00C72D71" w:rsidRPr="00760411" w:rsidRDefault="00C72D71" w:rsidP="00C72D71">
            <w:pPr>
              <w:jc w:val="right"/>
              <w:rPr>
                <w:color w:val="000000"/>
                <w:sz w:val="20"/>
                <w:szCs w:val="20"/>
              </w:rPr>
            </w:pPr>
            <w:r w:rsidRPr="00760411">
              <w:rPr>
                <w:sz w:val="20"/>
                <w:szCs w:val="20"/>
              </w:rPr>
              <w:t>20,448</w:t>
            </w:r>
          </w:p>
        </w:tc>
      </w:tr>
      <w:tr w:rsidR="00C72D71" w:rsidRPr="00760411" w14:paraId="5732FC3C"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AE06532" w14:textId="77777777" w:rsidR="00C72D71" w:rsidRPr="00760411" w:rsidRDefault="00C72D71" w:rsidP="00C72D71">
            <w:pPr>
              <w:ind w:firstLineChars="200" w:firstLine="400"/>
              <w:rPr>
                <w:color w:val="000000"/>
                <w:sz w:val="20"/>
                <w:szCs w:val="20"/>
              </w:rPr>
            </w:pPr>
            <w:r w:rsidRPr="00760411">
              <w:rPr>
                <w:color w:val="000000"/>
                <w:sz w:val="20"/>
                <w:szCs w:val="20"/>
              </w:rPr>
              <w:t>Interest on convertible debentures</w:t>
            </w:r>
          </w:p>
        </w:tc>
        <w:tc>
          <w:tcPr>
            <w:tcW w:w="560" w:type="dxa"/>
            <w:tcBorders>
              <w:top w:val="nil"/>
              <w:left w:val="nil"/>
              <w:bottom w:val="nil"/>
              <w:right w:val="nil"/>
            </w:tcBorders>
            <w:shd w:val="clear" w:color="auto" w:fill="auto"/>
            <w:noWrap/>
            <w:vAlign w:val="center"/>
            <w:hideMark/>
          </w:tcPr>
          <w:p w14:paraId="3D973151"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6C4BB788" w14:textId="3C0956D4" w:rsidR="00C72D71" w:rsidRPr="00760411" w:rsidRDefault="00C72D71" w:rsidP="00C72D71">
            <w:pPr>
              <w:jc w:val="right"/>
              <w:rPr>
                <w:color w:val="000000"/>
                <w:sz w:val="20"/>
                <w:szCs w:val="20"/>
              </w:rPr>
            </w:pPr>
            <w:r w:rsidRPr="00760411">
              <w:rPr>
                <w:color w:val="000000"/>
                <w:sz w:val="20"/>
                <w:szCs w:val="20"/>
              </w:rPr>
              <w:t>7,292</w:t>
            </w:r>
          </w:p>
        </w:tc>
        <w:tc>
          <w:tcPr>
            <w:tcW w:w="400" w:type="dxa"/>
            <w:tcBorders>
              <w:top w:val="nil"/>
              <w:left w:val="nil"/>
              <w:bottom w:val="nil"/>
              <w:right w:val="nil"/>
            </w:tcBorders>
            <w:shd w:val="clear" w:color="auto" w:fill="auto"/>
            <w:noWrap/>
            <w:vAlign w:val="center"/>
            <w:hideMark/>
          </w:tcPr>
          <w:p w14:paraId="2FCCC4B5"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5DA32799" w14:textId="77777777" w:rsidR="00C72D71" w:rsidRPr="00760411" w:rsidRDefault="00C72D71" w:rsidP="00C72D71">
            <w:pPr>
              <w:jc w:val="right"/>
              <w:rPr>
                <w:color w:val="000000"/>
                <w:sz w:val="20"/>
                <w:szCs w:val="20"/>
              </w:rPr>
            </w:pPr>
            <w:r w:rsidRPr="00760411">
              <w:rPr>
                <w:color w:val="000000"/>
                <w:sz w:val="20"/>
                <w:szCs w:val="20"/>
              </w:rPr>
              <w:t>-</w:t>
            </w:r>
          </w:p>
        </w:tc>
      </w:tr>
      <w:tr w:rsidR="00022BED" w:rsidRPr="00760411" w14:paraId="127EC908"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5A0379F7" w14:textId="77777777" w:rsidR="00022BED" w:rsidRPr="00760411" w:rsidRDefault="00022BED" w:rsidP="00BA2C24">
            <w:pPr>
              <w:ind w:firstLineChars="200" w:firstLine="400"/>
              <w:rPr>
                <w:color w:val="000000"/>
                <w:sz w:val="20"/>
                <w:szCs w:val="20"/>
              </w:rPr>
            </w:pPr>
            <w:r w:rsidRPr="00760411">
              <w:rPr>
                <w:color w:val="000000"/>
                <w:sz w:val="20"/>
                <w:szCs w:val="20"/>
              </w:rPr>
              <w:t>Interest on loans payable</w:t>
            </w:r>
          </w:p>
        </w:tc>
        <w:tc>
          <w:tcPr>
            <w:tcW w:w="560" w:type="dxa"/>
            <w:tcBorders>
              <w:top w:val="nil"/>
              <w:left w:val="nil"/>
              <w:bottom w:val="nil"/>
              <w:right w:val="nil"/>
            </w:tcBorders>
            <w:shd w:val="clear" w:color="auto" w:fill="auto"/>
            <w:noWrap/>
            <w:vAlign w:val="center"/>
            <w:hideMark/>
          </w:tcPr>
          <w:p w14:paraId="526ACF59" w14:textId="77777777" w:rsidR="00022BED" w:rsidRPr="00760411" w:rsidRDefault="00022BED"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66A16245" w14:textId="77777777" w:rsidR="00022BED" w:rsidRPr="00760411" w:rsidRDefault="00022BED" w:rsidP="00BA2C24">
            <w:pPr>
              <w:jc w:val="right"/>
              <w:rPr>
                <w:color w:val="000000"/>
                <w:sz w:val="20"/>
                <w:szCs w:val="20"/>
              </w:rPr>
            </w:pPr>
            <w:r w:rsidRPr="00760411">
              <w:rPr>
                <w:color w:val="000000"/>
                <w:sz w:val="20"/>
                <w:szCs w:val="20"/>
              </w:rPr>
              <w:t>-</w:t>
            </w:r>
          </w:p>
        </w:tc>
        <w:tc>
          <w:tcPr>
            <w:tcW w:w="400" w:type="dxa"/>
            <w:tcBorders>
              <w:top w:val="nil"/>
              <w:left w:val="nil"/>
              <w:bottom w:val="nil"/>
              <w:right w:val="nil"/>
            </w:tcBorders>
            <w:shd w:val="clear" w:color="auto" w:fill="auto"/>
            <w:noWrap/>
            <w:vAlign w:val="center"/>
            <w:hideMark/>
          </w:tcPr>
          <w:p w14:paraId="5843E235" w14:textId="77777777" w:rsidR="00022BED" w:rsidRPr="00760411" w:rsidRDefault="00022BED"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3F49EFBC" w14:textId="771D6D27" w:rsidR="00022BED" w:rsidRPr="00760411" w:rsidRDefault="00022BED" w:rsidP="00BA2C24">
            <w:pPr>
              <w:jc w:val="right"/>
              <w:rPr>
                <w:color w:val="000000"/>
                <w:sz w:val="20"/>
                <w:szCs w:val="20"/>
              </w:rPr>
            </w:pPr>
            <w:r w:rsidRPr="00760411">
              <w:rPr>
                <w:sz w:val="20"/>
                <w:szCs w:val="20"/>
              </w:rPr>
              <w:t>2,926</w:t>
            </w:r>
          </w:p>
        </w:tc>
      </w:tr>
      <w:tr w:rsidR="00C72D71" w:rsidRPr="00760411" w14:paraId="4B85CC2A"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181A2E8C" w14:textId="720D29DA" w:rsidR="00C72D71" w:rsidRPr="00760411" w:rsidRDefault="00C72D71" w:rsidP="00BA2C24">
            <w:pPr>
              <w:ind w:firstLineChars="200" w:firstLine="400"/>
              <w:rPr>
                <w:color w:val="000000"/>
                <w:sz w:val="20"/>
                <w:szCs w:val="20"/>
              </w:rPr>
            </w:pPr>
            <w:r w:rsidRPr="00760411">
              <w:rPr>
                <w:color w:val="000000"/>
                <w:sz w:val="20"/>
                <w:szCs w:val="20"/>
              </w:rPr>
              <w:t>Interest from sublease</w:t>
            </w:r>
          </w:p>
        </w:tc>
        <w:tc>
          <w:tcPr>
            <w:tcW w:w="560" w:type="dxa"/>
            <w:tcBorders>
              <w:top w:val="nil"/>
              <w:left w:val="nil"/>
              <w:bottom w:val="nil"/>
              <w:right w:val="nil"/>
            </w:tcBorders>
            <w:shd w:val="clear" w:color="auto" w:fill="auto"/>
            <w:noWrap/>
            <w:vAlign w:val="center"/>
            <w:hideMark/>
          </w:tcPr>
          <w:p w14:paraId="3F787EC9" w14:textId="77777777" w:rsidR="00C72D71" w:rsidRPr="00760411" w:rsidRDefault="00C72D71"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0CA4BB44" w14:textId="36EAF938" w:rsidR="00C72D71" w:rsidRPr="00760411" w:rsidRDefault="00C72D71" w:rsidP="00BA2C24">
            <w:pPr>
              <w:jc w:val="right"/>
              <w:rPr>
                <w:color w:val="000000"/>
                <w:sz w:val="20"/>
                <w:szCs w:val="20"/>
              </w:rPr>
            </w:pPr>
            <w:r w:rsidRPr="00760411">
              <w:rPr>
                <w:color w:val="000000"/>
                <w:sz w:val="20"/>
                <w:szCs w:val="20"/>
              </w:rPr>
              <w:t>(3,078)</w:t>
            </w:r>
          </w:p>
        </w:tc>
        <w:tc>
          <w:tcPr>
            <w:tcW w:w="400" w:type="dxa"/>
            <w:tcBorders>
              <w:top w:val="nil"/>
              <w:left w:val="nil"/>
              <w:bottom w:val="nil"/>
              <w:right w:val="nil"/>
            </w:tcBorders>
            <w:shd w:val="clear" w:color="auto" w:fill="auto"/>
            <w:noWrap/>
            <w:vAlign w:val="center"/>
            <w:hideMark/>
          </w:tcPr>
          <w:p w14:paraId="26B0D5CE"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6906F8DB" w14:textId="577E74BB" w:rsidR="00C72D71" w:rsidRPr="00760411" w:rsidRDefault="00C72D71" w:rsidP="00BA2C24">
            <w:pPr>
              <w:jc w:val="right"/>
              <w:rPr>
                <w:color w:val="000000"/>
                <w:sz w:val="20"/>
                <w:szCs w:val="20"/>
              </w:rPr>
            </w:pPr>
            <w:r w:rsidRPr="00760411">
              <w:rPr>
                <w:sz w:val="20"/>
                <w:szCs w:val="20"/>
              </w:rPr>
              <w:t>-</w:t>
            </w:r>
          </w:p>
        </w:tc>
      </w:tr>
      <w:tr w:rsidR="00022BED" w:rsidRPr="00760411" w14:paraId="5F644B74"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4F2E132" w14:textId="77777777" w:rsidR="00022BED" w:rsidRPr="00760411" w:rsidRDefault="00022BED" w:rsidP="00BA2C24">
            <w:pPr>
              <w:ind w:firstLineChars="200" w:firstLine="400"/>
              <w:rPr>
                <w:color w:val="000000"/>
                <w:sz w:val="20"/>
                <w:szCs w:val="20"/>
              </w:rPr>
            </w:pPr>
            <w:r w:rsidRPr="00760411">
              <w:rPr>
                <w:color w:val="000000"/>
                <w:sz w:val="20"/>
                <w:szCs w:val="20"/>
              </w:rPr>
              <w:t>Loss on settlement of convertible debentures</w:t>
            </w:r>
          </w:p>
        </w:tc>
        <w:tc>
          <w:tcPr>
            <w:tcW w:w="560" w:type="dxa"/>
            <w:tcBorders>
              <w:top w:val="nil"/>
              <w:left w:val="nil"/>
              <w:bottom w:val="nil"/>
              <w:right w:val="nil"/>
            </w:tcBorders>
            <w:shd w:val="clear" w:color="auto" w:fill="auto"/>
            <w:noWrap/>
            <w:vAlign w:val="center"/>
            <w:hideMark/>
          </w:tcPr>
          <w:p w14:paraId="14B5F1DD" w14:textId="77777777" w:rsidR="00022BED" w:rsidRPr="00760411" w:rsidRDefault="00022BED"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230C75B1" w14:textId="77777777" w:rsidR="00022BED" w:rsidRPr="00760411" w:rsidRDefault="00022BED" w:rsidP="00BA2C24">
            <w:pPr>
              <w:jc w:val="right"/>
              <w:rPr>
                <w:color w:val="000000"/>
                <w:sz w:val="20"/>
                <w:szCs w:val="20"/>
              </w:rPr>
            </w:pPr>
            <w:r w:rsidRPr="00760411">
              <w:rPr>
                <w:color w:val="000000"/>
                <w:sz w:val="20"/>
                <w:szCs w:val="20"/>
              </w:rPr>
              <w:t>22,036</w:t>
            </w:r>
          </w:p>
        </w:tc>
        <w:tc>
          <w:tcPr>
            <w:tcW w:w="400" w:type="dxa"/>
            <w:tcBorders>
              <w:top w:val="nil"/>
              <w:left w:val="nil"/>
              <w:bottom w:val="nil"/>
              <w:right w:val="nil"/>
            </w:tcBorders>
            <w:shd w:val="clear" w:color="auto" w:fill="auto"/>
            <w:noWrap/>
            <w:vAlign w:val="center"/>
            <w:hideMark/>
          </w:tcPr>
          <w:p w14:paraId="300BC8F0" w14:textId="77777777" w:rsidR="00022BED" w:rsidRPr="00760411" w:rsidRDefault="00022BED"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F287D86" w14:textId="77777777" w:rsidR="00022BED" w:rsidRPr="00760411" w:rsidRDefault="00022BED" w:rsidP="00BA2C24">
            <w:pPr>
              <w:jc w:val="right"/>
              <w:rPr>
                <w:color w:val="000000"/>
                <w:sz w:val="20"/>
                <w:szCs w:val="20"/>
              </w:rPr>
            </w:pPr>
            <w:r w:rsidRPr="00760411">
              <w:rPr>
                <w:color w:val="000000"/>
                <w:sz w:val="20"/>
                <w:szCs w:val="20"/>
              </w:rPr>
              <w:t>-</w:t>
            </w:r>
          </w:p>
        </w:tc>
      </w:tr>
      <w:tr w:rsidR="00C72D71" w:rsidRPr="00760411" w14:paraId="6B3F3EE5"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5E95AEFE" w14:textId="0F789ECC" w:rsidR="00C72D71" w:rsidRPr="00760411" w:rsidRDefault="00C72D71" w:rsidP="00BA2C24">
            <w:pPr>
              <w:ind w:firstLineChars="200" w:firstLine="400"/>
              <w:rPr>
                <w:color w:val="000000"/>
                <w:sz w:val="20"/>
                <w:szCs w:val="20"/>
              </w:rPr>
            </w:pPr>
            <w:r w:rsidRPr="00760411">
              <w:rPr>
                <w:color w:val="000000"/>
                <w:sz w:val="20"/>
                <w:szCs w:val="20"/>
              </w:rPr>
              <w:t>Loss on recognition of sublease</w:t>
            </w:r>
          </w:p>
        </w:tc>
        <w:tc>
          <w:tcPr>
            <w:tcW w:w="560" w:type="dxa"/>
            <w:tcBorders>
              <w:top w:val="nil"/>
              <w:left w:val="nil"/>
              <w:bottom w:val="nil"/>
              <w:right w:val="nil"/>
            </w:tcBorders>
            <w:shd w:val="clear" w:color="auto" w:fill="auto"/>
            <w:noWrap/>
            <w:vAlign w:val="center"/>
            <w:hideMark/>
          </w:tcPr>
          <w:p w14:paraId="2F67382A" w14:textId="77777777" w:rsidR="00C72D71" w:rsidRPr="00760411" w:rsidRDefault="00C72D71"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25E280B2" w14:textId="4A3E04C2" w:rsidR="00C72D71" w:rsidRPr="00760411" w:rsidRDefault="00C72D71" w:rsidP="00BA2C24">
            <w:pPr>
              <w:jc w:val="right"/>
              <w:rPr>
                <w:color w:val="000000"/>
                <w:sz w:val="20"/>
                <w:szCs w:val="20"/>
              </w:rPr>
            </w:pPr>
            <w:r w:rsidRPr="00760411">
              <w:rPr>
                <w:color w:val="000000"/>
                <w:sz w:val="20"/>
                <w:szCs w:val="20"/>
              </w:rPr>
              <w:t>12,097</w:t>
            </w:r>
          </w:p>
        </w:tc>
        <w:tc>
          <w:tcPr>
            <w:tcW w:w="400" w:type="dxa"/>
            <w:tcBorders>
              <w:top w:val="nil"/>
              <w:left w:val="nil"/>
              <w:bottom w:val="nil"/>
              <w:right w:val="nil"/>
            </w:tcBorders>
            <w:shd w:val="clear" w:color="auto" w:fill="auto"/>
            <w:noWrap/>
            <w:vAlign w:val="center"/>
            <w:hideMark/>
          </w:tcPr>
          <w:p w14:paraId="7D6FF38B"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ADF1541" w14:textId="77777777" w:rsidR="00C72D71" w:rsidRPr="00760411" w:rsidRDefault="00C72D71" w:rsidP="00BA2C24">
            <w:pPr>
              <w:jc w:val="right"/>
              <w:rPr>
                <w:color w:val="000000"/>
                <w:sz w:val="20"/>
                <w:szCs w:val="20"/>
              </w:rPr>
            </w:pPr>
            <w:r w:rsidRPr="00760411">
              <w:rPr>
                <w:color w:val="000000"/>
                <w:sz w:val="20"/>
                <w:szCs w:val="20"/>
              </w:rPr>
              <w:t>-</w:t>
            </w:r>
          </w:p>
        </w:tc>
      </w:tr>
      <w:tr w:rsidR="00C72D71" w:rsidRPr="00760411" w14:paraId="33476B8D"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12BE526F" w14:textId="106CD5F2" w:rsidR="00C72D71" w:rsidRPr="00760411" w:rsidRDefault="00C72D71" w:rsidP="00BA2C24">
            <w:pPr>
              <w:ind w:firstLineChars="200" w:firstLine="400"/>
              <w:rPr>
                <w:color w:val="000000"/>
                <w:sz w:val="20"/>
                <w:szCs w:val="20"/>
              </w:rPr>
            </w:pPr>
            <w:r w:rsidRPr="00760411">
              <w:rPr>
                <w:color w:val="000000"/>
                <w:sz w:val="20"/>
                <w:szCs w:val="20"/>
              </w:rPr>
              <w:t>Write-off of accounts payable</w:t>
            </w:r>
          </w:p>
        </w:tc>
        <w:tc>
          <w:tcPr>
            <w:tcW w:w="560" w:type="dxa"/>
            <w:tcBorders>
              <w:top w:val="nil"/>
              <w:left w:val="nil"/>
              <w:bottom w:val="nil"/>
              <w:right w:val="nil"/>
            </w:tcBorders>
            <w:shd w:val="clear" w:color="auto" w:fill="auto"/>
            <w:noWrap/>
            <w:vAlign w:val="center"/>
            <w:hideMark/>
          </w:tcPr>
          <w:p w14:paraId="2A6D2F89" w14:textId="77777777" w:rsidR="00C72D71" w:rsidRPr="00760411" w:rsidRDefault="00C72D71" w:rsidP="00BA2C24">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39C571FD" w14:textId="4A1AA49F" w:rsidR="00C72D71" w:rsidRPr="00760411" w:rsidRDefault="00C72D71" w:rsidP="00BA2C24">
            <w:pPr>
              <w:jc w:val="right"/>
              <w:rPr>
                <w:color w:val="000000"/>
                <w:sz w:val="20"/>
                <w:szCs w:val="20"/>
              </w:rPr>
            </w:pPr>
            <w:r w:rsidRPr="00760411">
              <w:rPr>
                <w:color w:val="000000"/>
                <w:sz w:val="20"/>
                <w:szCs w:val="20"/>
              </w:rPr>
              <w:t>(8,229)</w:t>
            </w:r>
          </w:p>
        </w:tc>
        <w:tc>
          <w:tcPr>
            <w:tcW w:w="400" w:type="dxa"/>
            <w:tcBorders>
              <w:top w:val="nil"/>
              <w:left w:val="nil"/>
              <w:bottom w:val="nil"/>
              <w:right w:val="nil"/>
            </w:tcBorders>
            <w:shd w:val="clear" w:color="auto" w:fill="auto"/>
            <w:noWrap/>
            <w:vAlign w:val="center"/>
            <w:hideMark/>
          </w:tcPr>
          <w:p w14:paraId="66B2BADE"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71B7CD2F" w14:textId="77777777" w:rsidR="00C72D71" w:rsidRPr="00760411" w:rsidRDefault="00C72D71" w:rsidP="00BA2C24">
            <w:pPr>
              <w:jc w:val="right"/>
              <w:rPr>
                <w:color w:val="000000"/>
                <w:sz w:val="20"/>
                <w:szCs w:val="20"/>
              </w:rPr>
            </w:pPr>
            <w:r w:rsidRPr="00760411">
              <w:rPr>
                <w:color w:val="000000"/>
                <w:sz w:val="20"/>
                <w:szCs w:val="20"/>
              </w:rPr>
              <w:t>-</w:t>
            </w:r>
          </w:p>
        </w:tc>
      </w:tr>
      <w:tr w:rsidR="00C72D71" w:rsidRPr="00760411" w14:paraId="04ECFD4E" w14:textId="77777777" w:rsidTr="00835C5B">
        <w:trPr>
          <w:gridAfter w:val="1"/>
          <w:wAfter w:w="505" w:type="dxa"/>
          <w:trHeight w:val="66"/>
        </w:trPr>
        <w:tc>
          <w:tcPr>
            <w:tcW w:w="5491" w:type="dxa"/>
            <w:tcBorders>
              <w:top w:val="nil"/>
              <w:left w:val="nil"/>
              <w:bottom w:val="nil"/>
              <w:right w:val="nil"/>
            </w:tcBorders>
            <w:shd w:val="clear" w:color="auto" w:fill="auto"/>
            <w:vAlign w:val="center"/>
          </w:tcPr>
          <w:p w14:paraId="43B74473" w14:textId="77777777" w:rsidR="00C72D71" w:rsidRPr="00760411" w:rsidRDefault="00C72D71" w:rsidP="00BA2C24">
            <w:pPr>
              <w:jc w:val="right"/>
              <w:rPr>
                <w:color w:val="000000"/>
                <w:sz w:val="20"/>
                <w:szCs w:val="20"/>
              </w:rPr>
            </w:pPr>
          </w:p>
        </w:tc>
        <w:tc>
          <w:tcPr>
            <w:tcW w:w="560" w:type="dxa"/>
            <w:tcBorders>
              <w:top w:val="nil"/>
              <w:left w:val="nil"/>
              <w:bottom w:val="nil"/>
              <w:right w:val="nil"/>
            </w:tcBorders>
            <w:shd w:val="clear" w:color="auto" w:fill="auto"/>
            <w:noWrap/>
            <w:vAlign w:val="center"/>
          </w:tcPr>
          <w:p w14:paraId="68C9D4B4" w14:textId="77777777" w:rsidR="00C72D71" w:rsidRPr="00760411" w:rsidRDefault="00C72D71" w:rsidP="00BA2C24">
            <w:pPr>
              <w:rPr>
                <w:sz w:val="20"/>
                <w:szCs w:val="20"/>
              </w:rPr>
            </w:pPr>
          </w:p>
        </w:tc>
        <w:tc>
          <w:tcPr>
            <w:tcW w:w="1721" w:type="dxa"/>
            <w:tcBorders>
              <w:top w:val="nil"/>
              <w:left w:val="nil"/>
              <w:bottom w:val="nil"/>
              <w:right w:val="nil"/>
            </w:tcBorders>
            <w:shd w:val="clear" w:color="auto" w:fill="auto"/>
            <w:noWrap/>
            <w:vAlign w:val="center"/>
          </w:tcPr>
          <w:p w14:paraId="21F1F0EF" w14:textId="77777777" w:rsidR="00C72D71" w:rsidRPr="00760411" w:rsidRDefault="00C72D71" w:rsidP="00BA2C24">
            <w:pPr>
              <w:jc w:val="right"/>
              <w:rPr>
                <w:sz w:val="20"/>
                <w:szCs w:val="20"/>
              </w:rPr>
            </w:pPr>
          </w:p>
        </w:tc>
        <w:tc>
          <w:tcPr>
            <w:tcW w:w="400" w:type="dxa"/>
            <w:tcBorders>
              <w:top w:val="nil"/>
              <w:left w:val="nil"/>
              <w:bottom w:val="nil"/>
              <w:right w:val="nil"/>
            </w:tcBorders>
            <w:shd w:val="clear" w:color="auto" w:fill="auto"/>
            <w:noWrap/>
            <w:vAlign w:val="center"/>
          </w:tcPr>
          <w:p w14:paraId="59B4B7BF" w14:textId="77777777" w:rsidR="00C72D71" w:rsidRPr="00760411" w:rsidRDefault="00C72D71" w:rsidP="00BA2C24">
            <w:pPr>
              <w:jc w:val="right"/>
              <w:rPr>
                <w:sz w:val="20"/>
                <w:szCs w:val="20"/>
              </w:rPr>
            </w:pPr>
          </w:p>
        </w:tc>
        <w:tc>
          <w:tcPr>
            <w:tcW w:w="1503" w:type="dxa"/>
            <w:tcBorders>
              <w:top w:val="nil"/>
              <w:left w:val="nil"/>
              <w:bottom w:val="nil"/>
              <w:right w:val="nil"/>
            </w:tcBorders>
            <w:shd w:val="clear" w:color="auto" w:fill="auto"/>
            <w:noWrap/>
            <w:vAlign w:val="center"/>
          </w:tcPr>
          <w:p w14:paraId="04F9F9B3" w14:textId="77777777" w:rsidR="00C72D71" w:rsidRPr="00760411" w:rsidRDefault="00C72D71" w:rsidP="00BA2C24">
            <w:pPr>
              <w:jc w:val="right"/>
              <w:rPr>
                <w:sz w:val="20"/>
                <w:szCs w:val="20"/>
              </w:rPr>
            </w:pPr>
          </w:p>
        </w:tc>
      </w:tr>
      <w:tr w:rsidR="00022BED" w:rsidRPr="00760411" w14:paraId="6402F93B"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7ED1A5B1" w14:textId="77777777" w:rsidR="00022BED" w:rsidRPr="00760411" w:rsidRDefault="00022BED" w:rsidP="00BA2C24">
            <w:pPr>
              <w:ind w:firstLineChars="100" w:firstLine="200"/>
              <w:rPr>
                <w:color w:val="000000"/>
                <w:sz w:val="20"/>
                <w:szCs w:val="20"/>
              </w:rPr>
            </w:pPr>
            <w:r w:rsidRPr="00760411">
              <w:rPr>
                <w:color w:val="000000"/>
                <w:sz w:val="20"/>
                <w:szCs w:val="20"/>
              </w:rPr>
              <w:t>Changes in non-cash working capital items:</w:t>
            </w:r>
          </w:p>
        </w:tc>
        <w:tc>
          <w:tcPr>
            <w:tcW w:w="560" w:type="dxa"/>
            <w:tcBorders>
              <w:top w:val="nil"/>
              <w:left w:val="nil"/>
              <w:bottom w:val="nil"/>
              <w:right w:val="nil"/>
            </w:tcBorders>
            <w:shd w:val="clear" w:color="auto" w:fill="auto"/>
            <w:noWrap/>
            <w:vAlign w:val="center"/>
            <w:hideMark/>
          </w:tcPr>
          <w:p w14:paraId="4BCE819E" w14:textId="77777777" w:rsidR="00022BED" w:rsidRPr="00760411" w:rsidRDefault="00022BED"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4C4F703A"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1E913524"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43B07846" w14:textId="77777777" w:rsidR="00022BED" w:rsidRPr="00760411" w:rsidRDefault="00022BED" w:rsidP="00BA2C24">
            <w:pPr>
              <w:jc w:val="right"/>
              <w:rPr>
                <w:sz w:val="20"/>
                <w:szCs w:val="20"/>
              </w:rPr>
            </w:pPr>
          </w:p>
        </w:tc>
      </w:tr>
      <w:tr w:rsidR="00C72D71" w:rsidRPr="00760411" w14:paraId="0F254A88"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1204A89" w14:textId="77777777" w:rsidR="00C72D71" w:rsidRPr="00760411" w:rsidRDefault="00C72D71" w:rsidP="00C72D71">
            <w:pPr>
              <w:ind w:firstLineChars="200" w:firstLine="400"/>
              <w:rPr>
                <w:color w:val="000000"/>
                <w:sz w:val="20"/>
                <w:szCs w:val="20"/>
              </w:rPr>
            </w:pPr>
            <w:r w:rsidRPr="00760411">
              <w:rPr>
                <w:color w:val="000000"/>
                <w:sz w:val="20"/>
                <w:szCs w:val="20"/>
              </w:rPr>
              <w:t>Accounts receivables</w:t>
            </w:r>
          </w:p>
        </w:tc>
        <w:tc>
          <w:tcPr>
            <w:tcW w:w="560" w:type="dxa"/>
            <w:tcBorders>
              <w:top w:val="nil"/>
              <w:left w:val="nil"/>
              <w:bottom w:val="nil"/>
              <w:right w:val="nil"/>
            </w:tcBorders>
            <w:shd w:val="clear" w:color="auto" w:fill="auto"/>
            <w:noWrap/>
            <w:vAlign w:val="center"/>
            <w:hideMark/>
          </w:tcPr>
          <w:p w14:paraId="2ED85E82"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3DAE7AEB" w14:textId="446CD704" w:rsidR="00C72D71" w:rsidRPr="00760411" w:rsidRDefault="00C72D71" w:rsidP="00C72D71">
            <w:pPr>
              <w:jc w:val="right"/>
              <w:rPr>
                <w:color w:val="000000"/>
                <w:sz w:val="20"/>
                <w:szCs w:val="20"/>
              </w:rPr>
            </w:pPr>
            <w:r w:rsidRPr="00760411">
              <w:rPr>
                <w:color w:val="000000"/>
                <w:sz w:val="20"/>
                <w:szCs w:val="20"/>
              </w:rPr>
              <w:t>(</w:t>
            </w:r>
            <w:r w:rsidR="00B65836">
              <w:rPr>
                <w:color w:val="000000"/>
                <w:sz w:val="20"/>
                <w:szCs w:val="20"/>
              </w:rPr>
              <w:t>22,494</w:t>
            </w:r>
            <w:r w:rsidRPr="00760411">
              <w:rPr>
                <w:color w:val="000000"/>
                <w:sz w:val="20"/>
                <w:szCs w:val="20"/>
              </w:rPr>
              <w:t>)</w:t>
            </w:r>
          </w:p>
        </w:tc>
        <w:tc>
          <w:tcPr>
            <w:tcW w:w="400" w:type="dxa"/>
            <w:tcBorders>
              <w:top w:val="nil"/>
              <w:left w:val="nil"/>
              <w:bottom w:val="nil"/>
              <w:right w:val="nil"/>
            </w:tcBorders>
            <w:shd w:val="clear" w:color="auto" w:fill="auto"/>
            <w:noWrap/>
            <w:vAlign w:val="center"/>
            <w:hideMark/>
          </w:tcPr>
          <w:p w14:paraId="69AE4D1B"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5ED0E670" w14:textId="77777777" w:rsidR="00C72D71" w:rsidRPr="00760411" w:rsidRDefault="00C72D71" w:rsidP="00C72D71">
            <w:pPr>
              <w:jc w:val="right"/>
              <w:rPr>
                <w:color w:val="000000"/>
                <w:sz w:val="20"/>
                <w:szCs w:val="20"/>
              </w:rPr>
            </w:pPr>
            <w:r w:rsidRPr="00760411">
              <w:rPr>
                <w:color w:val="000000"/>
                <w:sz w:val="20"/>
                <w:szCs w:val="20"/>
              </w:rPr>
              <w:t>-</w:t>
            </w:r>
          </w:p>
        </w:tc>
      </w:tr>
      <w:tr w:rsidR="00C72D71" w:rsidRPr="00760411" w14:paraId="7F3C930B"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4A8EFD7" w14:textId="77777777" w:rsidR="00C72D71" w:rsidRPr="00760411" w:rsidRDefault="00C72D71" w:rsidP="00C72D71">
            <w:pPr>
              <w:ind w:firstLineChars="200" w:firstLine="400"/>
              <w:rPr>
                <w:color w:val="000000"/>
                <w:sz w:val="20"/>
                <w:szCs w:val="20"/>
              </w:rPr>
            </w:pPr>
            <w:r w:rsidRPr="00760411">
              <w:rPr>
                <w:color w:val="000000"/>
                <w:sz w:val="20"/>
                <w:szCs w:val="20"/>
              </w:rPr>
              <w:t>Interest receivable</w:t>
            </w:r>
          </w:p>
        </w:tc>
        <w:tc>
          <w:tcPr>
            <w:tcW w:w="560" w:type="dxa"/>
            <w:tcBorders>
              <w:top w:val="nil"/>
              <w:left w:val="nil"/>
              <w:bottom w:val="nil"/>
              <w:right w:val="nil"/>
            </w:tcBorders>
            <w:shd w:val="clear" w:color="auto" w:fill="auto"/>
            <w:noWrap/>
            <w:vAlign w:val="center"/>
            <w:hideMark/>
          </w:tcPr>
          <w:p w14:paraId="0005D9EF"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7B865C98" w14:textId="21115B41" w:rsidR="00C72D71" w:rsidRPr="00760411" w:rsidRDefault="00C72D71" w:rsidP="00C72D71">
            <w:pPr>
              <w:jc w:val="right"/>
              <w:rPr>
                <w:color w:val="000000"/>
                <w:sz w:val="20"/>
                <w:szCs w:val="20"/>
              </w:rPr>
            </w:pPr>
            <w:r w:rsidRPr="00760411">
              <w:rPr>
                <w:color w:val="000000"/>
                <w:sz w:val="20"/>
                <w:szCs w:val="20"/>
              </w:rPr>
              <w:t>(13,041)</w:t>
            </w:r>
          </w:p>
        </w:tc>
        <w:tc>
          <w:tcPr>
            <w:tcW w:w="400" w:type="dxa"/>
            <w:tcBorders>
              <w:top w:val="nil"/>
              <w:left w:val="nil"/>
              <w:bottom w:val="nil"/>
              <w:right w:val="nil"/>
            </w:tcBorders>
            <w:shd w:val="clear" w:color="auto" w:fill="auto"/>
            <w:noWrap/>
            <w:vAlign w:val="center"/>
            <w:hideMark/>
          </w:tcPr>
          <w:p w14:paraId="6C9B2AF4"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17CBC476" w14:textId="39E6E62B" w:rsidR="00C72D71" w:rsidRPr="00760411" w:rsidRDefault="00C72D71" w:rsidP="00C72D71">
            <w:pPr>
              <w:jc w:val="right"/>
              <w:rPr>
                <w:color w:val="000000"/>
                <w:sz w:val="20"/>
                <w:szCs w:val="20"/>
              </w:rPr>
            </w:pPr>
            <w:r w:rsidRPr="00760411">
              <w:rPr>
                <w:sz w:val="20"/>
                <w:szCs w:val="20"/>
              </w:rPr>
              <w:t>(11,793)</w:t>
            </w:r>
          </w:p>
        </w:tc>
      </w:tr>
      <w:tr w:rsidR="00C72D71" w:rsidRPr="00760411" w14:paraId="744DDEC7"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51E20555" w14:textId="77777777" w:rsidR="00C72D71" w:rsidRPr="00760411" w:rsidRDefault="00C72D71" w:rsidP="00C72D71">
            <w:pPr>
              <w:ind w:firstLineChars="200" w:firstLine="400"/>
              <w:rPr>
                <w:color w:val="000000"/>
                <w:sz w:val="20"/>
                <w:szCs w:val="20"/>
              </w:rPr>
            </w:pPr>
            <w:r w:rsidRPr="00760411">
              <w:rPr>
                <w:color w:val="000000"/>
                <w:sz w:val="20"/>
                <w:szCs w:val="20"/>
              </w:rPr>
              <w:t>Loans receivable</w:t>
            </w:r>
          </w:p>
        </w:tc>
        <w:tc>
          <w:tcPr>
            <w:tcW w:w="560" w:type="dxa"/>
            <w:tcBorders>
              <w:top w:val="nil"/>
              <w:left w:val="nil"/>
              <w:bottom w:val="nil"/>
              <w:right w:val="nil"/>
            </w:tcBorders>
            <w:shd w:val="clear" w:color="auto" w:fill="auto"/>
            <w:noWrap/>
            <w:vAlign w:val="center"/>
            <w:hideMark/>
          </w:tcPr>
          <w:p w14:paraId="66F35CED"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2140E224" w14:textId="75EEBFF1" w:rsidR="00C72D71" w:rsidRPr="00760411" w:rsidRDefault="00C72D71" w:rsidP="00C72D71">
            <w:pPr>
              <w:jc w:val="right"/>
              <w:rPr>
                <w:color w:val="000000"/>
                <w:sz w:val="20"/>
                <w:szCs w:val="20"/>
              </w:rPr>
            </w:pPr>
            <w:r w:rsidRPr="00760411">
              <w:rPr>
                <w:color w:val="000000"/>
                <w:sz w:val="20"/>
                <w:szCs w:val="20"/>
              </w:rPr>
              <w:t>590,931</w:t>
            </w:r>
          </w:p>
        </w:tc>
        <w:tc>
          <w:tcPr>
            <w:tcW w:w="400" w:type="dxa"/>
            <w:tcBorders>
              <w:top w:val="nil"/>
              <w:left w:val="nil"/>
              <w:bottom w:val="nil"/>
              <w:right w:val="nil"/>
            </w:tcBorders>
            <w:shd w:val="clear" w:color="auto" w:fill="auto"/>
            <w:noWrap/>
            <w:vAlign w:val="center"/>
            <w:hideMark/>
          </w:tcPr>
          <w:p w14:paraId="51304416"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3B0E4FF" w14:textId="780B5A08" w:rsidR="00C72D71" w:rsidRPr="00760411" w:rsidRDefault="00C72D71" w:rsidP="00C72D71">
            <w:pPr>
              <w:jc w:val="right"/>
              <w:rPr>
                <w:color w:val="000000"/>
                <w:sz w:val="20"/>
                <w:szCs w:val="20"/>
              </w:rPr>
            </w:pPr>
            <w:r w:rsidRPr="00760411">
              <w:rPr>
                <w:sz w:val="20"/>
                <w:szCs w:val="20"/>
              </w:rPr>
              <w:t>(47,105)</w:t>
            </w:r>
          </w:p>
        </w:tc>
      </w:tr>
      <w:tr w:rsidR="00C72D71" w:rsidRPr="00760411" w14:paraId="3F8C1B29"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A6877D2" w14:textId="77777777" w:rsidR="00C72D71" w:rsidRPr="00760411" w:rsidRDefault="00C72D71" w:rsidP="00C72D71">
            <w:pPr>
              <w:ind w:firstLineChars="200" w:firstLine="400"/>
              <w:rPr>
                <w:color w:val="000000"/>
                <w:sz w:val="20"/>
                <w:szCs w:val="20"/>
              </w:rPr>
            </w:pPr>
            <w:r w:rsidRPr="00760411">
              <w:rPr>
                <w:color w:val="000000"/>
                <w:sz w:val="20"/>
                <w:szCs w:val="20"/>
              </w:rPr>
              <w:t>Prepaid expenses</w:t>
            </w:r>
          </w:p>
        </w:tc>
        <w:tc>
          <w:tcPr>
            <w:tcW w:w="560" w:type="dxa"/>
            <w:tcBorders>
              <w:top w:val="nil"/>
              <w:left w:val="nil"/>
              <w:bottom w:val="nil"/>
              <w:right w:val="nil"/>
            </w:tcBorders>
            <w:shd w:val="clear" w:color="auto" w:fill="auto"/>
            <w:noWrap/>
            <w:vAlign w:val="center"/>
            <w:hideMark/>
          </w:tcPr>
          <w:p w14:paraId="44C9931F"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041DF251" w14:textId="61F31E67" w:rsidR="00C72D71" w:rsidRPr="00760411" w:rsidRDefault="00B65836" w:rsidP="00C72D71">
            <w:pPr>
              <w:jc w:val="right"/>
              <w:rPr>
                <w:color w:val="000000"/>
                <w:sz w:val="20"/>
                <w:szCs w:val="20"/>
              </w:rPr>
            </w:pPr>
            <w:r>
              <w:rPr>
                <w:color w:val="000000"/>
                <w:sz w:val="20"/>
                <w:szCs w:val="20"/>
              </w:rPr>
              <w:t>8,877</w:t>
            </w:r>
          </w:p>
        </w:tc>
        <w:tc>
          <w:tcPr>
            <w:tcW w:w="400" w:type="dxa"/>
            <w:tcBorders>
              <w:top w:val="nil"/>
              <w:left w:val="nil"/>
              <w:bottom w:val="nil"/>
              <w:right w:val="nil"/>
            </w:tcBorders>
            <w:shd w:val="clear" w:color="auto" w:fill="auto"/>
            <w:noWrap/>
            <w:vAlign w:val="center"/>
            <w:hideMark/>
          </w:tcPr>
          <w:p w14:paraId="0BE5D00A"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0A6AD578" w14:textId="0801CECD" w:rsidR="00C72D71" w:rsidRPr="00760411" w:rsidRDefault="00C72D71" w:rsidP="00C72D71">
            <w:pPr>
              <w:jc w:val="right"/>
              <w:rPr>
                <w:color w:val="000000"/>
                <w:sz w:val="20"/>
                <w:szCs w:val="20"/>
              </w:rPr>
            </w:pPr>
            <w:r w:rsidRPr="00760411">
              <w:rPr>
                <w:sz w:val="20"/>
                <w:szCs w:val="20"/>
              </w:rPr>
              <w:t>2,370</w:t>
            </w:r>
          </w:p>
        </w:tc>
      </w:tr>
      <w:tr w:rsidR="00C72D71" w:rsidRPr="00760411" w14:paraId="0A34A125"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7CFAC111" w14:textId="77777777" w:rsidR="00C72D71" w:rsidRPr="00760411" w:rsidRDefault="00C72D71" w:rsidP="00C72D71">
            <w:pPr>
              <w:ind w:firstLineChars="200" w:firstLine="400"/>
              <w:rPr>
                <w:color w:val="000000"/>
                <w:sz w:val="20"/>
                <w:szCs w:val="20"/>
              </w:rPr>
            </w:pPr>
            <w:r w:rsidRPr="00760411">
              <w:rPr>
                <w:color w:val="000000"/>
                <w:sz w:val="20"/>
                <w:szCs w:val="20"/>
              </w:rPr>
              <w:t>Unearned revenue</w:t>
            </w:r>
          </w:p>
        </w:tc>
        <w:tc>
          <w:tcPr>
            <w:tcW w:w="560" w:type="dxa"/>
            <w:tcBorders>
              <w:top w:val="nil"/>
              <w:left w:val="nil"/>
              <w:bottom w:val="nil"/>
              <w:right w:val="nil"/>
            </w:tcBorders>
            <w:shd w:val="clear" w:color="auto" w:fill="auto"/>
            <w:noWrap/>
            <w:vAlign w:val="center"/>
            <w:hideMark/>
          </w:tcPr>
          <w:p w14:paraId="3ACDACD3" w14:textId="77777777" w:rsidR="00C72D71" w:rsidRPr="00760411" w:rsidRDefault="00C72D71" w:rsidP="00C72D71">
            <w:pPr>
              <w:ind w:firstLineChars="200" w:firstLine="400"/>
              <w:rPr>
                <w:color w:val="000000"/>
                <w:sz w:val="20"/>
                <w:szCs w:val="20"/>
              </w:rPr>
            </w:pPr>
          </w:p>
        </w:tc>
        <w:tc>
          <w:tcPr>
            <w:tcW w:w="1721" w:type="dxa"/>
            <w:tcBorders>
              <w:top w:val="nil"/>
              <w:left w:val="nil"/>
              <w:bottom w:val="nil"/>
              <w:right w:val="nil"/>
            </w:tcBorders>
            <w:shd w:val="clear" w:color="auto" w:fill="auto"/>
            <w:noWrap/>
            <w:vAlign w:val="center"/>
            <w:hideMark/>
          </w:tcPr>
          <w:p w14:paraId="7F6BFA08" w14:textId="23E65932" w:rsidR="00C72D71" w:rsidRPr="00760411" w:rsidRDefault="00C72D71" w:rsidP="00C72D71">
            <w:pPr>
              <w:jc w:val="right"/>
              <w:rPr>
                <w:color w:val="000000"/>
                <w:sz w:val="20"/>
                <w:szCs w:val="20"/>
              </w:rPr>
            </w:pPr>
            <w:r w:rsidRPr="00760411">
              <w:rPr>
                <w:color w:val="000000"/>
                <w:sz w:val="20"/>
                <w:szCs w:val="20"/>
              </w:rPr>
              <w:t>(172,946)</w:t>
            </w:r>
          </w:p>
        </w:tc>
        <w:tc>
          <w:tcPr>
            <w:tcW w:w="400" w:type="dxa"/>
            <w:tcBorders>
              <w:top w:val="nil"/>
              <w:left w:val="nil"/>
              <w:bottom w:val="nil"/>
              <w:right w:val="nil"/>
            </w:tcBorders>
            <w:shd w:val="clear" w:color="auto" w:fill="auto"/>
            <w:noWrap/>
            <w:vAlign w:val="center"/>
            <w:hideMark/>
          </w:tcPr>
          <w:p w14:paraId="6C640DDF"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557525B6" w14:textId="279FE012" w:rsidR="00C72D71" w:rsidRPr="00760411" w:rsidRDefault="00C72D71" w:rsidP="00C72D71">
            <w:pPr>
              <w:jc w:val="right"/>
              <w:rPr>
                <w:color w:val="000000"/>
                <w:sz w:val="20"/>
                <w:szCs w:val="20"/>
              </w:rPr>
            </w:pPr>
            <w:r w:rsidRPr="00760411">
              <w:rPr>
                <w:sz w:val="20"/>
                <w:szCs w:val="20"/>
              </w:rPr>
              <w:t>259,704</w:t>
            </w:r>
          </w:p>
        </w:tc>
      </w:tr>
      <w:tr w:rsidR="00C72D71" w:rsidRPr="00760411" w14:paraId="45876189" w14:textId="77777777" w:rsidTr="00835C5B">
        <w:trPr>
          <w:gridAfter w:val="1"/>
          <w:wAfter w:w="505" w:type="dxa"/>
          <w:trHeight w:val="228"/>
        </w:trPr>
        <w:tc>
          <w:tcPr>
            <w:tcW w:w="5491" w:type="dxa"/>
            <w:tcBorders>
              <w:top w:val="nil"/>
              <w:left w:val="nil"/>
              <w:right w:val="nil"/>
            </w:tcBorders>
            <w:shd w:val="clear" w:color="auto" w:fill="auto"/>
            <w:vAlign w:val="center"/>
            <w:hideMark/>
          </w:tcPr>
          <w:p w14:paraId="2016BCBE" w14:textId="77777777" w:rsidR="00C72D71" w:rsidRPr="00760411" w:rsidRDefault="00C72D71" w:rsidP="00C72D71">
            <w:pPr>
              <w:ind w:firstLineChars="200" w:firstLine="400"/>
              <w:rPr>
                <w:color w:val="000000"/>
                <w:sz w:val="20"/>
                <w:szCs w:val="20"/>
              </w:rPr>
            </w:pPr>
            <w:r w:rsidRPr="00760411">
              <w:rPr>
                <w:color w:val="000000"/>
                <w:sz w:val="20"/>
                <w:szCs w:val="20"/>
              </w:rPr>
              <w:t>Accounts payable and accrued liabilities</w:t>
            </w:r>
          </w:p>
        </w:tc>
        <w:tc>
          <w:tcPr>
            <w:tcW w:w="560" w:type="dxa"/>
            <w:tcBorders>
              <w:top w:val="nil"/>
              <w:left w:val="nil"/>
              <w:right w:val="nil"/>
            </w:tcBorders>
            <w:shd w:val="clear" w:color="auto" w:fill="auto"/>
            <w:noWrap/>
            <w:vAlign w:val="center"/>
            <w:hideMark/>
          </w:tcPr>
          <w:p w14:paraId="2353969F" w14:textId="77777777" w:rsidR="00C72D71" w:rsidRPr="00760411" w:rsidRDefault="00C72D71" w:rsidP="00C72D71">
            <w:pPr>
              <w:ind w:firstLineChars="200" w:firstLine="400"/>
              <w:rPr>
                <w:color w:val="000000"/>
                <w:sz w:val="20"/>
                <w:szCs w:val="20"/>
              </w:rPr>
            </w:pPr>
          </w:p>
        </w:tc>
        <w:tc>
          <w:tcPr>
            <w:tcW w:w="1721" w:type="dxa"/>
            <w:tcBorders>
              <w:top w:val="nil"/>
              <w:left w:val="nil"/>
              <w:right w:val="nil"/>
            </w:tcBorders>
            <w:shd w:val="clear" w:color="auto" w:fill="auto"/>
            <w:noWrap/>
            <w:vAlign w:val="center"/>
            <w:hideMark/>
          </w:tcPr>
          <w:p w14:paraId="58C6242F" w14:textId="1E8199D5" w:rsidR="00C72D71" w:rsidRPr="00760411" w:rsidRDefault="00286F5B" w:rsidP="00C72D71">
            <w:pPr>
              <w:jc w:val="right"/>
              <w:rPr>
                <w:color w:val="000000"/>
                <w:sz w:val="20"/>
                <w:szCs w:val="20"/>
              </w:rPr>
            </w:pPr>
            <w:r>
              <w:rPr>
                <w:color w:val="000000"/>
                <w:sz w:val="20"/>
                <w:szCs w:val="20"/>
              </w:rPr>
              <w:t>122,630</w:t>
            </w:r>
          </w:p>
        </w:tc>
        <w:tc>
          <w:tcPr>
            <w:tcW w:w="400" w:type="dxa"/>
            <w:tcBorders>
              <w:top w:val="nil"/>
              <w:left w:val="nil"/>
              <w:right w:val="nil"/>
            </w:tcBorders>
            <w:shd w:val="clear" w:color="auto" w:fill="auto"/>
            <w:noWrap/>
            <w:vAlign w:val="center"/>
            <w:hideMark/>
          </w:tcPr>
          <w:p w14:paraId="4466F16C" w14:textId="77777777" w:rsidR="00C72D71" w:rsidRPr="00760411" w:rsidRDefault="00C72D71" w:rsidP="00C72D71">
            <w:pPr>
              <w:jc w:val="right"/>
              <w:rPr>
                <w:color w:val="000000"/>
                <w:sz w:val="20"/>
                <w:szCs w:val="20"/>
              </w:rPr>
            </w:pPr>
          </w:p>
        </w:tc>
        <w:tc>
          <w:tcPr>
            <w:tcW w:w="1503" w:type="dxa"/>
            <w:tcBorders>
              <w:top w:val="nil"/>
              <w:left w:val="nil"/>
              <w:right w:val="nil"/>
            </w:tcBorders>
            <w:shd w:val="clear" w:color="auto" w:fill="auto"/>
            <w:noWrap/>
            <w:vAlign w:val="center"/>
            <w:hideMark/>
          </w:tcPr>
          <w:p w14:paraId="3C48879D" w14:textId="7E3E25F1" w:rsidR="00C72D71" w:rsidRPr="00760411" w:rsidRDefault="00C72D71" w:rsidP="00C72D71">
            <w:pPr>
              <w:jc w:val="right"/>
              <w:rPr>
                <w:color w:val="000000"/>
                <w:sz w:val="20"/>
                <w:szCs w:val="20"/>
              </w:rPr>
            </w:pPr>
            <w:r w:rsidRPr="00760411">
              <w:rPr>
                <w:sz w:val="20"/>
                <w:szCs w:val="20"/>
              </w:rPr>
              <w:t>49,178</w:t>
            </w:r>
          </w:p>
        </w:tc>
      </w:tr>
      <w:tr w:rsidR="00C72D71" w:rsidRPr="00760411" w14:paraId="332F4C02" w14:textId="77777777" w:rsidTr="00835C5B">
        <w:trPr>
          <w:gridAfter w:val="1"/>
          <w:wAfter w:w="505" w:type="dxa"/>
          <w:trHeight w:val="228"/>
        </w:trPr>
        <w:tc>
          <w:tcPr>
            <w:tcW w:w="5491" w:type="dxa"/>
            <w:tcBorders>
              <w:top w:val="nil"/>
              <w:left w:val="nil"/>
              <w:bottom w:val="single" w:sz="4" w:space="0" w:color="auto"/>
              <w:right w:val="nil"/>
            </w:tcBorders>
            <w:shd w:val="clear" w:color="auto" w:fill="auto"/>
            <w:vAlign w:val="center"/>
            <w:hideMark/>
          </w:tcPr>
          <w:p w14:paraId="75B593E4" w14:textId="77777777" w:rsidR="00C72D71" w:rsidRPr="00760411" w:rsidRDefault="00C72D71" w:rsidP="00C72D71">
            <w:pPr>
              <w:ind w:firstLineChars="200" w:firstLine="400"/>
              <w:rPr>
                <w:color w:val="000000"/>
                <w:sz w:val="20"/>
                <w:szCs w:val="20"/>
              </w:rPr>
            </w:pPr>
            <w:r w:rsidRPr="00760411">
              <w:rPr>
                <w:color w:val="000000"/>
                <w:sz w:val="20"/>
                <w:szCs w:val="20"/>
              </w:rPr>
              <w:t>Interest payable</w:t>
            </w:r>
          </w:p>
        </w:tc>
        <w:tc>
          <w:tcPr>
            <w:tcW w:w="560" w:type="dxa"/>
            <w:tcBorders>
              <w:top w:val="nil"/>
              <w:left w:val="nil"/>
              <w:bottom w:val="single" w:sz="4" w:space="0" w:color="auto"/>
              <w:right w:val="nil"/>
            </w:tcBorders>
            <w:shd w:val="clear" w:color="auto" w:fill="auto"/>
            <w:noWrap/>
            <w:vAlign w:val="center"/>
            <w:hideMark/>
          </w:tcPr>
          <w:p w14:paraId="51F78AD6" w14:textId="77777777" w:rsidR="00C72D71" w:rsidRPr="00760411" w:rsidRDefault="00C72D71" w:rsidP="00C72D71">
            <w:pPr>
              <w:ind w:firstLineChars="200" w:firstLine="400"/>
              <w:rPr>
                <w:color w:val="000000"/>
                <w:sz w:val="20"/>
                <w:szCs w:val="20"/>
              </w:rPr>
            </w:pPr>
          </w:p>
        </w:tc>
        <w:tc>
          <w:tcPr>
            <w:tcW w:w="1721" w:type="dxa"/>
            <w:tcBorders>
              <w:top w:val="nil"/>
              <w:left w:val="nil"/>
              <w:bottom w:val="single" w:sz="4" w:space="0" w:color="auto"/>
              <w:right w:val="nil"/>
            </w:tcBorders>
            <w:shd w:val="clear" w:color="auto" w:fill="auto"/>
            <w:noWrap/>
            <w:vAlign w:val="center"/>
            <w:hideMark/>
          </w:tcPr>
          <w:p w14:paraId="20961B12" w14:textId="2D81608C" w:rsidR="00C72D71" w:rsidRPr="00760411" w:rsidRDefault="00C72D71" w:rsidP="00C72D71">
            <w:pPr>
              <w:jc w:val="right"/>
              <w:rPr>
                <w:color w:val="000000"/>
                <w:sz w:val="20"/>
                <w:szCs w:val="20"/>
              </w:rPr>
            </w:pPr>
            <w:r w:rsidRPr="00760411">
              <w:rPr>
                <w:color w:val="000000"/>
                <w:sz w:val="20"/>
                <w:szCs w:val="20"/>
              </w:rPr>
              <w:t>87,763</w:t>
            </w:r>
          </w:p>
        </w:tc>
        <w:tc>
          <w:tcPr>
            <w:tcW w:w="400" w:type="dxa"/>
            <w:tcBorders>
              <w:top w:val="nil"/>
              <w:left w:val="nil"/>
              <w:bottom w:val="single" w:sz="4" w:space="0" w:color="auto"/>
              <w:right w:val="nil"/>
            </w:tcBorders>
            <w:shd w:val="clear" w:color="auto" w:fill="auto"/>
            <w:noWrap/>
            <w:vAlign w:val="center"/>
            <w:hideMark/>
          </w:tcPr>
          <w:p w14:paraId="39994786" w14:textId="77777777" w:rsidR="00C72D71" w:rsidRPr="00760411" w:rsidRDefault="00C72D71" w:rsidP="00C72D71">
            <w:pPr>
              <w:jc w:val="right"/>
              <w:rPr>
                <w:color w:val="000000"/>
                <w:sz w:val="20"/>
                <w:szCs w:val="20"/>
              </w:rPr>
            </w:pPr>
          </w:p>
        </w:tc>
        <w:tc>
          <w:tcPr>
            <w:tcW w:w="1503" w:type="dxa"/>
            <w:tcBorders>
              <w:top w:val="nil"/>
              <w:left w:val="nil"/>
              <w:bottom w:val="single" w:sz="4" w:space="0" w:color="auto"/>
              <w:right w:val="nil"/>
            </w:tcBorders>
            <w:shd w:val="clear" w:color="auto" w:fill="auto"/>
            <w:noWrap/>
            <w:vAlign w:val="center"/>
            <w:hideMark/>
          </w:tcPr>
          <w:p w14:paraId="4859AC2E" w14:textId="0076685A" w:rsidR="00C72D71" w:rsidRPr="00760411" w:rsidRDefault="00C72D71" w:rsidP="00C72D71">
            <w:pPr>
              <w:jc w:val="right"/>
              <w:rPr>
                <w:color w:val="000000"/>
                <w:sz w:val="20"/>
                <w:szCs w:val="20"/>
              </w:rPr>
            </w:pPr>
            <w:r w:rsidRPr="00760411">
              <w:rPr>
                <w:sz w:val="20"/>
                <w:szCs w:val="20"/>
              </w:rPr>
              <w:t>92,531</w:t>
            </w:r>
          </w:p>
        </w:tc>
      </w:tr>
      <w:tr w:rsidR="00022BED" w:rsidRPr="00760411" w14:paraId="58263401" w14:textId="77777777" w:rsidTr="00835C5B">
        <w:trPr>
          <w:gridAfter w:val="1"/>
          <w:wAfter w:w="505" w:type="dxa"/>
          <w:trHeight w:val="65"/>
        </w:trPr>
        <w:tc>
          <w:tcPr>
            <w:tcW w:w="5491" w:type="dxa"/>
            <w:tcBorders>
              <w:top w:val="single" w:sz="4" w:space="0" w:color="auto"/>
              <w:left w:val="nil"/>
              <w:bottom w:val="nil"/>
              <w:right w:val="nil"/>
            </w:tcBorders>
            <w:shd w:val="clear" w:color="auto" w:fill="auto"/>
            <w:vAlign w:val="center"/>
            <w:hideMark/>
          </w:tcPr>
          <w:p w14:paraId="3883C6C3" w14:textId="77777777" w:rsidR="00022BED" w:rsidRPr="00760411" w:rsidRDefault="00022BED" w:rsidP="00BA2C24">
            <w:pPr>
              <w:jc w:val="right"/>
              <w:rPr>
                <w:color w:val="000000"/>
                <w:sz w:val="20"/>
                <w:szCs w:val="20"/>
              </w:rPr>
            </w:pPr>
          </w:p>
        </w:tc>
        <w:tc>
          <w:tcPr>
            <w:tcW w:w="560" w:type="dxa"/>
            <w:tcBorders>
              <w:top w:val="single" w:sz="4" w:space="0" w:color="auto"/>
              <w:left w:val="nil"/>
              <w:bottom w:val="nil"/>
              <w:right w:val="nil"/>
            </w:tcBorders>
            <w:shd w:val="clear" w:color="auto" w:fill="auto"/>
            <w:noWrap/>
            <w:vAlign w:val="center"/>
            <w:hideMark/>
          </w:tcPr>
          <w:p w14:paraId="326CFF1B" w14:textId="77777777" w:rsidR="00022BED" w:rsidRPr="00760411" w:rsidRDefault="00022BED" w:rsidP="00BA2C24">
            <w:pPr>
              <w:rPr>
                <w:sz w:val="20"/>
                <w:szCs w:val="20"/>
              </w:rPr>
            </w:pPr>
          </w:p>
        </w:tc>
        <w:tc>
          <w:tcPr>
            <w:tcW w:w="1721" w:type="dxa"/>
            <w:tcBorders>
              <w:top w:val="single" w:sz="4" w:space="0" w:color="auto"/>
              <w:left w:val="nil"/>
              <w:bottom w:val="nil"/>
              <w:right w:val="nil"/>
            </w:tcBorders>
            <w:shd w:val="clear" w:color="auto" w:fill="auto"/>
            <w:noWrap/>
            <w:vAlign w:val="center"/>
            <w:hideMark/>
          </w:tcPr>
          <w:p w14:paraId="1A83879A" w14:textId="77777777" w:rsidR="00022BED" w:rsidRPr="00760411" w:rsidRDefault="00022BED" w:rsidP="00BA2C24">
            <w:pPr>
              <w:jc w:val="right"/>
              <w:rPr>
                <w:sz w:val="20"/>
                <w:szCs w:val="20"/>
              </w:rPr>
            </w:pPr>
          </w:p>
        </w:tc>
        <w:tc>
          <w:tcPr>
            <w:tcW w:w="400" w:type="dxa"/>
            <w:tcBorders>
              <w:top w:val="single" w:sz="4" w:space="0" w:color="auto"/>
              <w:left w:val="nil"/>
              <w:bottom w:val="nil"/>
              <w:right w:val="nil"/>
            </w:tcBorders>
            <w:shd w:val="clear" w:color="auto" w:fill="auto"/>
            <w:noWrap/>
            <w:vAlign w:val="center"/>
            <w:hideMark/>
          </w:tcPr>
          <w:p w14:paraId="42F5DBCA" w14:textId="77777777" w:rsidR="00022BED" w:rsidRPr="00760411" w:rsidRDefault="00022BED" w:rsidP="00BA2C24">
            <w:pPr>
              <w:jc w:val="right"/>
              <w:rPr>
                <w:sz w:val="20"/>
                <w:szCs w:val="20"/>
              </w:rPr>
            </w:pPr>
          </w:p>
        </w:tc>
        <w:tc>
          <w:tcPr>
            <w:tcW w:w="1503" w:type="dxa"/>
            <w:tcBorders>
              <w:top w:val="single" w:sz="4" w:space="0" w:color="auto"/>
              <w:left w:val="nil"/>
              <w:bottom w:val="nil"/>
              <w:right w:val="nil"/>
            </w:tcBorders>
            <w:shd w:val="clear" w:color="auto" w:fill="auto"/>
            <w:noWrap/>
            <w:vAlign w:val="center"/>
            <w:hideMark/>
          </w:tcPr>
          <w:p w14:paraId="6CFD9ABD" w14:textId="77777777" w:rsidR="00022BED" w:rsidRPr="00760411" w:rsidRDefault="00022BED" w:rsidP="00BA2C24">
            <w:pPr>
              <w:jc w:val="right"/>
              <w:rPr>
                <w:sz w:val="20"/>
                <w:szCs w:val="20"/>
              </w:rPr>
            </w:pPr>
          </w:p>
        </w:tc>
      </w:tr>
      <w:tr w:rsidR="00022BED" w:rsidRPr="00760411" w14:paraId="25E3F4F7" w14:textId="77777777" w:rsidTr="00835C5B">
        <w:trPr>
          <w:gridAfter w:val="1"/>
          <w:wAfter w:w="505" w:type="dxa"/>
          <w:trHeight w:val="228"/>
        </w:trPr>
        <w:tc>
          <w:tcPr>
            <w:tcW w:w="5491" w:type="dxa"/>
            <w:tcBorders>
              <w:top w:val="nil"/>
              <w:left w:val="nil"/>
              <w:bottom w:val="single" w:sz="4" w:space="0" w:color="auto"/>
              <w:right w:val="nil"/>
            </w:tcBorders>
            <w:shd w:val="clear" w:color="auto" w:fill="auto"/>
            <w:vAlign w:val="center"/>
            <w:hideMark/>
          </w:tcPr>
          <w:p w14:paraId="4CA5E134" w14:textId="77777777" w:rsidR="00022BED" w:rsidRPr="00760411" w:rsidRDefault="00022BED" w:rsidP="00BA2C24">
            <w:pPr>
              <w:rPr>
                <w:color w:val="000000"/>
                <w:sz w:val="20"/>
                <w:szCs w:val="20"/>
              </w:rPr>
            </w:pPr>
            <w:r w:rsidRPr="00760411">
              <w:rPr>
                <w:color w:val="000000"/>
                <w:sz w:val="20"/>
                <w:szCs w:val="20"/>
              </w:rPr>
              <w:t>Net cash used in operating activities</w:t>
            </w:r>
          </w:p>
        </w:tc>
        <w:tc>
          <w:tcPr>
            <w:tcW w:w="560" w:type="dxa"/>
            <w:tcBorders>
              <w:top w:val="nil"/>
              <w:left w:val="nil"/>
              <w:bottom w:val="single" w:sz="4" w:space="0" w:color="auto"/>
              <w:right w:val="nil"/>
            </w:tcBorders>
            <w:shd w:val="clear" w:color="auto" w:fill="auto"/>
            <w:noWrap/>
            <w:vAlign w:val="center"/>
            <w:hideMark/>
          </w:tcPr>
          <w:p w14:paraId="12BD75BD" w14:textId="77777777" w:rsidR="00022BED" w:rsidRPr="00760411" w:rsidRDefault="00022BED" w:rsidP="00BA2C24">
            <w:pPr>
              <w:jc w:val="right"/>
              <w:rPr>
                <w:color w:val="000000"/>
                <w:sz w:val="20"/>
                <w:szCs w:val="20"/>
              </w:rPr>
            </w:pPr>
            <w:r w:rsidRPr="00760411">
              <w:rPr>
                <w:color w:val="000000"/>
                <w:sz w:val="20"/>
                <w:szCs w:val="20"/>
              </w:rPr>
              <w:t> </w:t>
            </w:r>
          </w:p>
        </w:tc>
        <w:tc>
          <w:tcPr>
            <w:tcW w:w="1721" w:type="dxa"/>
            <w:tcBorders>
              <w:top w:val="nil"/>
              <w:left w:val="nil"/>
              <w:bottom w:val="single" w:sz="4" w:space="0" w:color="auto"/>
              <w:right w:val="nil"/>
            </w:tcBorders>
            <w:shd w:val="clear" w:color="auto" w:fill="auto"/>
            <w:noWrap/>
            <w:vAlign w:val="center"/>
            <w:hideMark/>
          </w:tcPr>
          <w:p w14:paraId="095A9214" w14:textId="6CF75100" w:rsidR="00022BED" w:rsidRPr="00760411" w:rsidRDefault="00022BED" w:rsidP="00BA2C24">
            <w:pPr>
              <w:jc w:val="right"/>
              <w:rPr>
                <w:color w:val="000000"/>
                <w:sz w:val="20"/>
                <w:szCs w:val="20"/>
              </w:rPr>
            </w:pPr>
            <w:r w:rsidRPr="00760411">
              <w:rPr>
                <w:color w:val="000000"/>
                <w:sz w:val="20"/>
                <w:szCs w:val="20"/>
              </w:rPr>
              <w:t>(</w:t>
            </w:r>
            <w:r w:rsidR="00C72D71" w:rsidRPr="00760411">
              <w:rPr>
                <w:color w:val="000000"/>
                <w:sz w:val="20"/>
                <w:szCs w:val="20"/>
              </w:rPr>
              <w:t>1,</w:t>
            </w:r>
            <w:r w:rsidR="00286F5B">
              <w:rPr>
                <w:color w:val="000000"/>
                <w:sz w:val="20"/>
                <w:szCs w:val="20"/>
              </w:rPr>
              <w:t>592,849</w:t>
            </w:r>
            <w:r w:rsidRPr="00760411">
              <w:rPr>
                <w:color w:val="000000"/>
                <w:sz w:val="20"/>
                <w:szCs w:val="20"/>
              </w:rPr>
              <w:t>)</w:t>
            </w:r>
          </w:p>
        </w:tc>
        <w:tc>
          <w:tcPr>
            <w:tcW w:w="400" w:type="dxa"/>
            <w:tcBorders>
              <w:top w:val="nil"/>
              <w:left w:val="nil"/>
              <w:bottom w:val="single" w:sz="4" w:space="0" w:color="auto"/>
              <w:right w:val="nil"/>
            </w:tcBorders>
            <w:shd w:val="clear" w:color="auto" w:fill="auto"/>
            <w:noWrap/>
            <w:vAlign w:val="center"/>
            <w:hideMark/>
          </w:tcPr>
          <w:p w14:paraId="72A2C881" w14:textId="77777777" w:rsidR="00022BED" w:rsidRPr="00760411" w:rsidRDefault="00022BED" w:rsidP="00BA2C24">
            <w:pPr>
              <w:jc w:val="right"/>
              <w:rPr>
                <w:color w:val="000000"/>
                <w:sz w:val="20"/>
                <w:szCs w:val="20"/>
              </w:rPr>
            </w:pPr>
            <w:r w:rsidRPr="00760411">
              <w:rPr>
                <w:color w:val="000000"/>
                <w:sz w:val="20"/>
                <w:szCs w:val="20"/>
              </w:rPr>
              <w:t> </w:t>
            </w:r>
          </w:p>
        </w:tc>
        <w:tc>
          <w:tcPr>
            <w:tcW w:w="1503" w:type="dxa"/>
            <w:tcBorders>
              <w:top w:val="nil"/>
              <w:left w:val="nil"/>
              <w:bottom w:val="single" w:sz="4" w:space="0" w:color="auto"/>
              <w:right w:val="nil"/>
            </w:tcBorders>
            <w:shd w:val="clear" w:color="auto" w:fill="auto"/>
            <w:noWrap/>
            <w:vAlign w:val="center"/>
            <w:hideMark/>
          </w:tcPr>
          <w:p w14:paraId="69F2E264" w14:textId="7F70469B" w:rsidR="00022BED" w:rsidRPr="00760411" w:rsidRDefault="00022BED" w:rsidP="00BA2C24">
            <w:pPr>
              <w:jc w:val="right"/>
              <w:rPr>
                <w:color w:val="000000"/>
                <w:sz w:val="20"/>
                <w:szCs w:val="20"/>
              </w:rPr>
            </w:pPr>
            <w:r w:rsidRPr="00760411">
              <w:rPr>
                <w:sz w:val="20"/>
                <w:szCs w:val="20"/>
              </w:rPr>
              <w:t>(884,970)</w:t>
            </w:r>
          </w:p>
        </w:tc>
      </w:tr>
      <w:tr w:rsidR="00022BED" w:rsidRPr="00760411" w14:paraId="61C25633" w14:textId="77777777" w:rsidTr="00835C5B">
        <w:trPr>
          <w:gridAfter w:val="1"/>
          <w:wAfter w:w="505" w:type="dxa"/>
          <w:trHeight w:val="180"/>
        </w:trPr>
        <w:tc>
          <w:tcPr>
            <w:tcW w:w="5491" w:type="dxa"/>
            <w:tcBorders>
              <w:top w:val="nil"/>
              <w:left w:val="nil"/>
              <w:bottom w:val="nil"/>
              <w:right w:val="nil"/>
            </w:tcBorders>
            <w:shd w:val="clear" w:color="auto" w:fill="auto"/>
            <w:vAlign w:val="center"/>
            <w:hideMark/>
          </w:tcPr>
          <w:p w14:paraId="35396B04"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76CB56A3"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71C7916A"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1022866C"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178B9AE7" w14:textId="77777777" w:rsidR="00022BED" w:rsidRPr="00760411" w:rsidRDefault="00022BED" w:rsidP="00BA2C24">
            <w:pPr>
              <w:jc w:val="right"/>
              <w:rPr>
                <w:sz w:val="20"/>
                <w:szCs w:val="20"/>
              </w:rPr>
            </w:pPr>
          </w:p>
        </w:tc>
      </w:tr>
      <w:tr w:rsidR="00022BED" w:rsidRPr="00760411" w14:paraId="3B5F13E1" w14:textId="77777777" w:rsidTr="00835C5B">
        <w:trPr>
          <w:gridAfter w:val="1"/>
          <w:wAfter w:w="505" w:type="dxa"/>
          <w:trHeight w:val="228"/>
        </w:trPr>
        <w:tc>
          <w:tcPr>
            <w:tcW w:w="5491" w:type="dxa"/>
            <w:tcBorders>
              <w:top w:val="nil"/>
              <w:left w:val="nil"/>
              <w:right w:val="nil"/>
            </w:tcBorders>
            <w:shd w:val="clear" w:color="auto" w:fill="auto"/>
            <w:vAlign w:val="center"/>
            <w:hideMark/>
          </w:tcPr>
          <w:p w14:paraId="7771CAE6" w14:textId="41895FE2" w:rsidR="00022BED" w:rsidRPr="00760411" w:rsidRDefault="00022BED" w:rsidP="00BA2C24">
            <w:pPr>
              <w:rPr>
                <w:b/>
                <w:bCs/>
                <w:color w:val="000000"/>
                <w:sz w:val="20"/>
                <w:szCs w:val="20"/>
              </w:rPr>
            </w:pPr>
            <w:r w:rsidRPr="00760411">
              <w:rPr>
                <w:b/>
                <w:bCs/>
                <w:color w:val="000000"/>
                <w:sz w:val="20"/>
                <w:szCs w:val="20"/>
              </w:rPr>
              <w:t xml:space="preserve">CASH FROM INVESTING </w:t>
            </w:r>
            <w:r w:rsidR="00B75725" w:rsidRPr="00760411">
              <w:rPr>
                <w:b/>
                <w:bCs/>
                <w:color w:val="000000"/>
                <w:sz w:val="20"/>
                <w:szCs w:val="20"/>
              </w:rPr>
              <w:t>ACTIVITIES</w:t>
            </w:r>
          </w:p>
        </w:tc>
        <w:tc>
          <w:tcPr>
            <w:tcW w:w="560" w:type="dxa"/>
            <w:tcBorders>
              <w:top w:val="nil"/>
              <w:left w:val="nil"/>
              <w:right w:val="nil"/>
            </w:tcBorders>
            <w:shd w:val="clear" w:color="auto" w:fill="auto"/>
            <w:noWrap/>
            <w:vAlign w:val="center"/>
            <w:hideMark/>
          </w:tcPr>
          <w:p w14:paraId="6381DABB" w14:textId="77777777" w:rsidR="00022BED" w:rsidRPr="00760411" w:rsidRDefault="00022BED" w:rsidP="00BA2C24">
            <w:pPr>
              <w:rPr>
                <w:b/>
                <w:bCs/>
                <w:color w:val="000000"/>
                <w:sz w:val="20"/>
                <w:szCs w:val="20"/>
              </w:rPr>
            </w:pPr>
          </w:p>
        </w:tc>
        <w:tc>
          <w:tcPr>
            <w:tcW w:w="1721" w:type="dxa"/>
            <w:tcBorders>
              <w:top w:val="nil"/>
              <w:left w:val="nil"/>
              <w:right w:val="nil"/>
            </w:tcBorders>
            <w:shd w:val="clear" w:color="auto" w:fill="auto"/>
            <w:noWrap/>
            <w:vAlign w:val="center"/>
            <w:hideMark/>
          </w:tcPr>
          <w:p w14:paraId="07B11779" w14:textId="77777777" w:rsidR="00022BED" w:rsidRPr="00760411" w:rsidRDefault="00022BED" w:rsidP="00BA2C24">
            <w:pPr>
              <w:jc w:val="right"/>
              <w:rPr>
                <w:sz w:val="20"/>
                <w:szCs w:val="20"/>
              </w:rPr>
            </w:pPr>
          </w:p>
        </w:tc>
        <w:tc>
          <w:tcPr>
            <w:tcW w:w="400" w:type="dxa"/>
            <w:tcBorders>
              <w:top w:val="nil"/>
              <w:left w:val="nil"/>
              <w:right w:val="nil"/>
            </w:tcBorders>
            <w:shd w:val="clear" w:color="auto" w:fill="auto"/>
            <w:noWrap/>
            <w:vAlign w:val="center"/>
            <w:hideMark/>
          </w:tcPr>
          <w:p w14:paraId="2FDE20C6" w14:textId="77777777" w:rsidR="00022BED" w:rsidRPr="00760411" w:rsidRDefault="00022BED" w:rsidP="00BA2C24">
            <w:pPr>
              <w:jc w:val="right"/>
              <w:rPr>
                <w:sz w:val="20"/>
                <w:szCs w:val="20"/>
              </w:rPr>
            </w:pPr>
          </w:p>
        </w:tc>
        <w:tc>
          <w:tcPr>
            <w:tcW w:w="1503" w:type="dxa"/>
            <w:tcBorders>
              <w:top w:val="nil"/>
              <w:left w:val="nil"/>
              <w:right w:val="nil"/>
            </w:tcBorders>
            <w:shd w:val="clear" w:color="auto" w:fill="auto"/>
            <w:noWrap/>
            <w:vAlign w:val="center"/>
            <w:hideMark/>
          </w:tcPr>
          <w:p w14:paraId="779C1F06" w14:textId="77777777" w:rsidR="00022BED" w:rsidRPr="00760411" w:rsidRDefault="00022BED" w:rsidP="00BA2C24">
            <w:pPr>
              <w:jc w:val="right"/>
              <w:rPr>
                <w:sz w:val="20"/>
                <w:szCs w:val="20"/>
              </w:rPr>
            </w:pPr>
          </w:p>
        </w:tc>
      </w:tr>
      <w:tr w:rsidR="00022BED" w:rsidRPr="00760411" w14:paraId="6564467C" w14:textId="77777777" w:rsidTr="00835C5B">
        <w:trPr>
          <w:gridAfter w:val="1"/>
          <w:wAfter w:w="505" w:type="dxa"/>
          <w:trHeight w:val="228"/>
        </w:trPr>
        <w:tc>
          <w:tcPr>
            <w:tcW w:w="5491" w:type="dxa"/>
            <w:tcBorders>
              <w:top w:val="nil"/>
              <w:left w:val="nil"/>
              <w:right w:val="nil"/>
            </w:tcBorders>
            <w:shd w:val="clear" w:color="auto" w:fill="auto"/>
            <w:vAlign w:val="center"/>
            <w:hideMark/>
          </w:tcPr>
          <w:p w14:paraId="498A6B64" w14:textId="77777777" w:rsidR="00022BED" w:rsidRPr="00760411" w:rsidRDefault="00022BED" w:rsidP="00BA2C24">
            <w:pPr>
              <w:ind w:firstLineChars="100" w:firstLine="200"/>
              <w:rPr>
                <w:color w:val="000000"/>
                <w:sz w:val="20"/>
                <w:szCs w:val="20"/>
              </w:rPr>
            </w:pPr>
            <w:r w:rsidRPr="00760411">
              <w:rPr>
                <w:color w:val="000000"/>
                <w:sz w:val="20"/>
                <w:szCs w:val="20"/>
              </w:rPr>
              <w:t>Acquisition of property, equipment, and right-of-use assets</w:t>
            </w:r>
          </w:p>
        </w:tc>
        <w:tc>
          <w:tcPr>
            <w:tcW w:w="560" w:type="dxa"/>
            <w:tcBorders>
              <w:top w:val="nil"/>
              <w:left w:val="nil"/>
              <w:right w:val="nil"/>
            </w:tcBorders>
            <w:shd w:val="clear" w:color="auto" w:fill="auto"/>
            <w:noWrap/>
            <w:vAlign w:val="center"/>
            <w:hideMark/>
          </w:tcPr>
          <w:p w14:paraId="5E46AE33" w14:textId="77777777" w:rsidR="00022BED" w:rsidRPr="00760411" w:rsidRDefault="00022BED" w:rsidP="00BA2C24">
            <w:pPr>
              <w:jc w:val="right"/>
              <w:rPr>
                <w:color w:val="000000"/>
                <w:sz w:val="20"/>
                <w:szCs w:val="20"/>
              </w:rPr>
            </w:pPr>
            <w:r w:rsidRPr="00760411">
              <w:rPr>
                <w:color w:val="000000"/>
                <w:sz w:val="20"/>
                <w:szCs w:val="20"/>
              </w:rPr>
              <w:t> </w:t>
            </w:r>
          </w:p>
        </w:tc>
        <w:tc>
          <w:tcPr>
            <w:tcW w:w="1721" w:type="dxa"/>
            <w:tcBorders>
              <w:top w:val="nil"/>
              <w:left w:val="nil"/>
              <w:right w:val="nil"/>
            </w:tcBorders>
            <w:shd w:val="clear" w:color="auto" w:fill="auto"/>
            <w:noWrap/>
            <w:vAlign w:val="center"/>
            <w:hideMark/>
          </w:tcPr>
          <w:p w14:paraId="5895B052" w14:textId="3648CB47" w:rsidR="00022BED" w:rsidRPr="00760411" w:rsidRDefault="00C65AD3" w:rsidP="00BA2C24">
            <w:pPr>
              <w:jc w:val="right"/>
              <w:rPr>
                <w:color w:val="000000"/>
                <w:sz w:val="20"/>
                <w:szCs w:val="20"/>
              </w:rPr>
            </w:pPr>
            <w:r w:rsidRPr="00760411">
              <w:rPr>
                <w:color w:val="000000"/>
                <w:sz w:val="20"/>
                <w:szCs w:val="20"/>
              </w:rPr>
              <w:t>(1,575)</w:t>
            </w:r>
          </w:p>
        </w:tc>
        <w:tc>
          <w:tcPr>
            <w:tcW w:w="400" w:type="dxa"/>
            <w:tcBorders>
              <w:top w:val="nil"/>
              <w:left w:val="nil"/>
              <w:right w:val="nil"/>
            </w:tcBorders>
            <w:shd w:val="clear" w:color="auto" w:fill="auto"/>
            <w:noWrap/>
            <w:vAlign w:val="center"/>
            <w:hideMark/>
          </w:tcPr>
          <w:p w14:paraId="019A12CF" w14:textId="77777777" w:rsidR="00022BED" w:rsidRPr="00760411" w:rsidRDefault="00022BED" w:rsidP="00BA2C24">
            <w:pPr>
              <w:jc w:val="right"/>
              <w:rPr>
                <w:color w:val="000000"/>
                <w:sz w:val="20"/>
                <w:szCs w:val="20"/>
              </w:rPr>
            </w:pPr>
            <w:r w:rsidRPr="00760411">
              <w:rPr>
                <w:color w:val="000000"/>
                <w:sz w:val="20"/>
                <w:szCs w:val="20"/>
              </w:rPr>
              <w:t> </w:t>
            </w:r>
          </w:p>
        </w:tc>
        <w:tc>
          <w:tcPr>
            <w:tcW w:w="1503" w:type="dxa"/>
            <w:tcBorders>
              <w:top w:val="nil"/>
              <w:left w:val="nil"/>
              <w:right w:val="nil"/>
            </w:tcBorders>
            <w:shd w:val="clear" w:color="auto" w:fill="auto"/>
            <w:noWrap/>
            <w:vAlign w:val="center"/>
            <w:hideMark/>
          </w:tcPr>
          <w:p w14:paraId="0ED03A96" w14:textId="77777777" w:rsidR="00022BED" w:rsidRPr="00760411" w:rsidRDefault="00022BED" w:rsidP="00BA2C24">
            <w:pPr>
              <w:jc w:val="right"/>
              <w:rPr>
                <w:color w:val="000000"/>
                <w:sz w:val="20"/>
                <w:szCs w:val="20"/>
              </w:rPr>
            </w:pPr>
            <w:r w:rsidRPr="00760411">
              <w:rPr>
                <w:color w:val="000000"/>
                <w:sz w:val="20"/>
                <w:szCs w:val="20"/>
              </w:rPr>
              <w:t>(4,135)</w:t>
            </w:r>
          </w:p>
        </w:tc>
      </w:tr>
      <w:tr w:rsidR="00C72D71" w:rsidRPr="00760411" w14:paraId="2676E41D" w14:textId="77777777" w:rsidTr="00835C5B">
        <w:trPr>
          <w:gridAfter w:val="1"/>
          <w:wAfter w:w="505" w:type="dxa"/>
          <w:trHeight w:val="228"/>
        </w:trPr>
        <w:tc>
          <w:tcPr>
            <w:tcW w:w="5491" w:type="dxa"/>
            <w:tcBorders>
              <w:left w:val="nil"/>
              <w:bottom w:val="single" w:sz="4" w:space="0" w:color="auto"/>
              <w:right w:val="nil"/>
            </w:tcBorders>
            <w:shd w:val="clear" w:color="auto" w:fill="auto"/>
            <w:vAlign w:val="center"/>
            <w:hideMark/>
          </w:tcPr>
          <w:p w14:paraId="3C53FCAE" w14:textId="4E3046A1" w:rsidR="00C72D71" w:rsidRPr="00760411" w:rsidRDefault="00C72D71" w:rsidP="00BA2C24">
            <w:pPr>
              <w:ind w:firstLineChars="100" w:firstLine="200"/>
              <w:rPr>
                <w:color w:val="000000"/>
                <w:sz w:val="20"/>
                <w:szCs w:val="20"/>
              </w:rPr>
            </w:pPr>
            <w:r w:rsidRPr="00760411">
              <w:rPr>
                <w:color w:val="000000"/>
                <w:sz w:val="20"/>
                <w:szCs w:val="20"/>
              </w:rPr>
              <w:t xml:space="preserve">Acquisition of </w:t>
            </w:r>
            <w:proofErr w:type="spellStart"/>
            <w:r w:rsidR="00B75725" w:rsidRPr="00760411">
              <w:rPr>
                <w:color w:val="000000"/>
                <w:sz w:val="20"/>
                <w:szCs w:val="20"/>
              </w:rPr>
              <w:t>Inverite</w:t>
            </w:r>
            <w:proofErr w:type="spellEnd"/>
          </w:p>
        </w:tc>
        <w:tc>
          <w:tcPr>
            <w:tcW w:w="560" w:type="dxa"/>
            <w:tcBorders>
              <w:left w:val="nil"/>
              <w:bottom w:val="single" w:sz="4" w:space="0" w:color="auto"/>
              <w:right w:val="nil"/>
            </w:tcBorders>
            <w:shd w:val="clear" w:color="auto" w:fill="auto"/>
            <w:noWrap/>
            <w:vAlign w:val="center"/>
            <w:hideMark/>
          </w:tcPr>
          <w:p w14:paraId="7D1181F7" w14:textId="77777777" w:rsidR="00C72D71" w:rsidRPr="00760411" w:rsidRDefault="00C72D71" w:rsidP="00BA2C24">
            <w:pPr>
              <w:jc w:val="right"/>
              <w:rPr>
                <w:color w:val="000000"/>
                <w:sz w:val="20"/>
                <w:szCs w:val="20"/>
              </w:rPr>
            </w:pPr>
            <w:r w:rsidRPr="00760411">
              <w:rPr>
                <w:color w:val="000000"/>
                <w:sz w:val="20"/>
                <w:szCs w:val="20"/>
              </w:rPr>
              <w:t> </w:t>
            </w:r>
          </w:p>
        </w:tc>
        <w:tc>
          <w:tcPr>
            <w:tcW w:w="1721" w:type="dxa"/>
            <w:tcBorders>
              <w:left w:val="nil"/>
              <w:bottom w:val="single" w:sz="4" w:space="0" w:color="auto"/>
              <w:right w:val="nil"/>
            </w:tcBorders>
            <w:shd w:val="clear" w:color="auto" w:fill="auto"/>
            <w:noWrap/>
            <w:vAlign w:val="center"/>
            <w:hideMark/>
          </w:tcPr>
          <w:p w14:paraId="23B3CA02" w14:textId="76DDD7A6" w:rsidR="00C72D71" w:rsidRPr="00760411" w:rsidRDefault="00C72D71" w:rsidP="00BA2C24">
            <w:pPr>
              <w:jc w:val="right"/>
              <w:rPr>
                <w:color w:val="000000"/>
                <w:sz w:val="20"/>
                <w:szCs w:val="20"/>
              </w:rPr>
            </w:pPr>
            <w:r w:rsidRPr="00760411">
              <w:rPr>
                <w:color w:val="000000"/>
                <w:sz w:val="20"/>
                <w:szCs w:val="20"/>
              </w:rPr>
              <w:t>(1,</w:t>
            </w:r>
            <w:r w:rsidR="00B65836">
              <w:rPr>
                <w:color w:val="000000"/>
                <w:sz w:val="20"/>
                <w:szCs w:val="20"/>
              </w:rPr>
              <w:t>441,864</w:t>
            </w:r>
            <w:r w:rsidRPr="00760411">
              <w:rPr>
                <w:color w:val="000000"/>
                <w:sz w:val="20"/>
                <w:szCs w:val="20"/>
              </w:rPr>
              <w:t>)</w:t>
            </w:r>
          </w:p>
        </w:tc>
        <w:tc>
          <w:tcPr>
            <w:tcW w:w="400" w:type="dxa"/>
            <w:tcBorders>
              <w:left w:val="nil"/>
              <w:bottom w:val="single" w:sz="4" w:space="0" w:color="auto"/>
              <w:right w:val="nil"/>
            </w:tcBorders>
            <w:shd w:val="clear" w:color="auto" w:fill="auto"/>
            <w:noWrap/>
            <w:vAlign w:val="center"/>
            <w:hideMark/>
          </w:tcPr>
          <w:p w14:paraId="43596A25" w14:textId="77777777" w:rsidR="00C72D71" w:rsidRPr="00760411" w:rsidRDefault="00C72D71" w:rsidP="00BA2C24">
            <w:pPr>
              <w:jc w:val="right"/>
              <w:rPr>
                <w:color w:val="000000"/>
                <w:sz w:val="20"/>
                <w:szCs w:val="20"/>
              </w:rPr>
            </w:pPr>
            <w:r w:rsidRPr="00760411">
              <w:rPr>
                <w:color w:val="000000"/>
                <w:sz w:val="20"/>
                <w:szCs w:val="20"/>
              </w:rPr>
              <w:t> </w:t>
            </w:r>
          </w:p>
        </w:tc>
        <w:tc>
          <w:tcPr>
            <w:tcW w:w="1503" w:type="dxa"/>
            <w:tcBorders>
              <w:left w:val="nil"/>
              <w:bottom w:val="single" w:sz="4" w:space="0" w:color="auto"/>
              <w:right w:val="nil"/>
            </w:tcBorders>
            <w:shd w:val="clear" w:color="auto" w:fill="auto"/>
            <w:noWrap/>
            <w:vAlign w:val="center"/>
            <w:hideMark/>
          </w:tcPr>
          <w:p w14:paraId="5849E8DA" w14:textId="524B8D3A" w:rsidR="00C72D71" w:rsidRPr="00760411" w:rsidRDefault="00C72D71" w:rsidP="00BA2C24">
            <w:pPr>
              <w:jc w:val="right"/>
              <w:rPr>
                <w:color w:val="000000"/>
                <w:sz w:val="20"/>
                <w:szCs w:val="20"/>
              </w:rPr>
            </w:pPr>
            <w:r w:rsidRPr="00760411">
              <w:rPr>
                <w:color w:val="000000"/>
                <w:sz w:val="20"/>
                <w:szCs w:val="20"/>
              </w:rPr>
              <w:t>-</w:t>
            </w:r>
          </w:p>
        </w:tc>
      </w:tr>
      <w:tr w:rsidR="00022BED" w:rsidRPr="00760411" w14:paraId="26901706" w14:textId="77777777" w:rsidTr="00835C5B">
        <w:trPr>
          <w:gridAfter w:val="1"/>
          <w:wAfter w:w="505" w:type="dxa"/>
          <w:trHeight w:val="56"/>
        </w:trPr>
        <w:tc>
          <w:tcPr>
            <w:tcW w:w="5491" w:type="dxa"/>
            <w:tcBorders>
              <w:top w:val="nil"/>
              <w:left w:val="nil"/>
              <w:bottom w:val="nil"/>
              <w:right w:val="nil"/>
            </w:tcBorders>
            <w:shd w:val="clear" w:color="auto" w:fill="auto"/>
            <w:vAlign w:val="center"/>
            <w:hideMark/>
          </w:tcPr>
          <w:p w14:paraId="52F0FF04"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02741745"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3AAD6B3D"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29F7CD58"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228D6CB5" w14:textId="77777777" w:rsidR="00022BED" w:rsidRPr="00760411" w:rsidRDefault="00022BED" w:rsidP="00BA2C24">
            <w:pPr>
              <w:jc w:val="right"/>
              <w:rPr>
                <w:sz w:val="20"/>
                <w:szCs w:val="20"/>
              </w:rPr>
            </w:pPr>
          </w:p>
        </w:tc>
      </w:tr>
      <w:tr w:rsidR="00022BED" w:rsidRPr="00760411" w14:paraId="526ECE57" w14:textId="77777777" w:rsidTr="00835C5B">
        <w:trPr>
          <w:gridAfter w:val="1"/>
          <w:wAfter w:w="505" w:type="dxa"/>
          <w:trHeight w:val="228"/>
        </w:trPr>
        <w:tc>
          <w:tcPr>
            <w:tcW w:w="5491" w:type="dxa"/>
            <w:tcBorders>
              <w:top w:val="nil"/>
              <w:left w:val="nil"/>
              <w:bottom w:val="single" w:sz="4" w:space="0" w:color="auto"/>
              <w:right w:val="nil"/>
            </w:tcBorders>
            <w:shd w:val="clear" w:color="auto" w:fill="auto"/>
            <w:vAlign w:val="center"/>
            <w:hideMark/>
          </w:tcPr>
          <w:p w14:paraId="00D00EA9" w14:textId="0B851253" w:rsidR="00022BED" w:rsidRPr="00760411" w:rsidRDefault="00022BED" w:rsidP="00BA2C24">
            <w:pPr>
              <w:rPr>
                <w:color w:val="000000"/>
                <w:sz w:val="20"/>
                <w:szCs w:val="20"/>
              </w:rPr>
            </w:pPr>
            <w:r w:rsidRPr="00760411">
              <w:rPr>
                <w:color w:val="000000"/>
                <w:sz w:val="20"/>
                <w:szCs w:val="20"/>
              </w:rPr>
              <w:t>Net cash used in investing activit</w:t>
            </w:r>
            <w:r w:rsidR="00C72D71" w:rsidRPr="00760411">
              <w:rPr>
                <w:color w:val="000000"/>
                <w:sz w:val="20"/>
                <w:szCs w:val="20"/>
              </w:rPr>
              <w:t>ies</w:t>
            </w:r>
          </w:p>
        </w:tc>
        <w:tc>
          <w:tcPr>
            <w:tcW w:w="560" w:type="dxa"/>
            <w:tcBorders>
              <w:top w:val="nil"/>
              <w:left w:val="nil"/>
              <w:bottom w:val="single" w:sz="4" w:space="0" w:color="auto"/>
              <w:right w:val="nil"/>
            </w:tcBorders>
            <w:shd w:val="clear" w:color="auto" w:fill="auto"/>
            <w:noWrap/>
            <w:vAlign w:val="center"/>
            <w:hideMark/>
          </w:tcPr>
          <w:p w14:paraId="48CF15D4" w14:textId="77777777" w:rsidR="00022BED" w:rsidRPr="00760411" w:rsidRDefault="00022BED" w:rsidP="00BA2C24">
            <w:pPr>
              <w:jc w:val="right"/>
              <w:rPr>
                <w:color w:val="000000"/>
                <w:sz w:val="20"/>
                <w:szCs w:val="20"/>
              </w:rPr>
            </w:pPr>
            <w:r w:rsidRPr="00760411">
              <w:rPr>
                <w:color w:val="000000"/>
                <w:sz w:val="20"/>
                <w:szCs w:val="20"/>
              </w:rPr>
              <w:t> </w:t>
            </w:r>
          </w:p>
        </w:tc>
        <w:tc>
          <w:tcPr>
            <w:tcW w:w="1721" w:type="dxa"/>
            <w:tcBorders>
              <w:top w:val="nil"/>
              <w:left w:val="nil"/>
              <w:bottom w:val="single" w:sz="4" w:space="0" w:color="auto"/>
              <w:right w:val="nil"/>
            </w:tcBorders>
            <w:shd w:val="clear" w:color="auto" w:fill="auto"/>
            <w:noWrap/>
            <w:vAlign w:val="center"/>
            <w:hideMark/>
          </w:tcPr>
          <w:p w14:paraId="4B8534D7" w14:textId="37A6F8BC" w:rsidR="00022BED" w:rsidRPr="00760411" w:rsidRDefault="00C72D71" w:rsidP="00BA2C24">
            <w:pPr>
              <w:jc w:val="right"/>
              <w:rPr>
                <w:color w:val="000000"/>
                <w:sz w:val="20"/>
                <w:szCs w:val="20"/>
              </w:rPr>
            </w:pPr>
            <w:r w:rsidRPr="00760411">
              <w:rPr>
                <w:color w:val="000000"/>
                <w:sz w:val="20"/>
                <w:szCs w:val="20"/>
              </w:rPr>
              <w:t>(1,</w:t>
            </w:r>
            <w:r w:rsidR="00C65AD3" w:rsidRPr="00760411">
              <w:rPr>
                <w:color w:val="000000"/>
                <w:sz w:val="20"/>
                <w:szCs w:val="20"/>
              </w:rPr>
              <w:t>4</w:t>
            </w:r>
            <w:r w:rsidR="00B65836">
              <w:rPr>
                <w:color w:val="000000"/>
                <w:sz w:val="20"/>
                <w:szCs w:val="20"/>
              </w:rPr>
              <w:t>43,439</w:t>
            </w:r>
            <w:r w:rsidRPr="00760411">
              <w:rPr>
                <w:color w:val="000000"/>
                <w:sz w:val="20"/>
                <w:szCs w:val="20"/>
              </w:rPr>
              <w:t>)</w:t>
            </w:r>
          </w:p>
        </w:tc>
        <w:tc>
          <w:tcPr>
            <w:tcW w:w="400" w:type="dxa"/>
            <w:tcBorders>
              <w:top w:val="nil"/>
              <w:left w:val="nil"/>
              <w:bottom w:val="single" w:sz="4" w:space="0" w:color="auto"/>
              <w:right w:val="nil"/>
            </w:tcBorders>
            <w:shd w:val="clear" w:color="auto" w:fill="auto"/>
            <w:noWrap/>
            <w:vAlign w:val="center"/>
            <w:hideMark/>
          </w:tcPr>
          <w:p w14:paraId="504904B4" w14:textId="77777777" w:rsidR="00022BED" w:rsidRPr="00760411" w:rsidRDefault="00022BED" w:rsidP="00BA2C24">
            <w:pPr>
              <w:jc w:val="right"/>
              <w:rPr>
                <w:color w:val="000000"/>
                <w:sz w:val="20"/>
                <w:szCs w:val="20"/>
              </w:rPr>
            </w:pPr>
            <w:r w:rsidRPr="00760411">
              <w:rPr>
                <w:color w:val="000000"/>
                <w:sz w:val="20"/>
                <w:szCs w:val="20"/>
              </w:rPr>
              <w:t> </w:t>
            </w:r>
          </w:p>
        </w:tc>
        <w:tc>
          <w:tcPr>
            <w:tcW w:w="1503" w:type="dxa"/>
            <w:tcBorders>
              <w:top w:val="nil"/>
              <w:left w:val="nil"/>
              <w:bottom w:val="single" w:sz="4" w:space="0" w:color="auto"/>
              <w:right w:val="nil"/>
            </w:tcBorders>
            <w:shd w:val="clear" w:color="auto" w:fill="auto"/>
            <w:noWrap/>
            <w:vAlign w:val="center"/>
            <w:hideMark/>
          </w:tcPr>
          <w:p w14:paraId="1C465D1C" w14:textId="77777777" w:rsidR="00022BED" w:rsidRPr="00760411" w:rsidRDefault="00022BED" w:rsidP="00BA2C24">
            <w:pPr>
              <w:jc w:val="right"/>
              <w:rPr>
                <w:color w:val="000000"/>
                <w:sz w:val="20"/>
                <w:szCs w:val="20"/>
              </w:rPr>
            </w:pPr>
            <w:r w:rsidRPr="00760411">
              <w:rPr>
                <w:color w:val="000000"/>
                <w:sz w:val="20"/>
                <w:szCs w:val="20"/>
              </w:rPr>
              <w:t>(4,135)</w:t>
            </w:r>
          </w:p>
        </w:tc>
      </w:tr>
      <w:tr w:rsidR="00022BED" w:rsidRPr="00760411" w14:paraId="0A1077CC" w14:textId="77777777" w:rsidTr="00835C5B">
        <w:trPr>
          <w:gridAfter w:val="1"/>
          <w:wAfter w:w="505" w:type="dxa"/>
          <w:trHeight w:val="180"/>
        </w:trPr>
        <w:tc>
          <w:tcPr>
            <w:tcW w:w="5491" w:type="dxa"/>
            <w:tcBorders>
              <w:top w:val="nil"/>
              <w:left w:val="nil"/>
              <w:bottom w:val="nil"/>
              <w:right w:val="nil"/>
            </w:tcBorders>
            <w:shd w:val="clear" w:color="auto" w:fill="auto"/>
            <w:vAlign w:val="center"/>
            <w:hideMark/>
          </w:tcPr>
          <w:p w14:paraId="7FEED145"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07DF32F7"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18B2DA9E"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20798B4F"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71E21A1B" w14:textId="77777777" w:rsidR="00022BED" w:rsidRPr="00760411" w:rsidRDefault="00022BED" w:rsidP="00BA2C24">
            <w:pPr>
              <w:jc w:val="right"/>
              <w:rPr>
                <w:sz w:val="20"/>
                <w:szCs w:val="20"/>
              </w:rPr>
            </w:pPr>
          </w:p>
        </w:tc>
      </w:tr>
      <w:tr w:rsidR="00022BED" w:rsidRPr="00760411" w14:paraId="01A679B9"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34D0757F" w14:textId="77777777" w:rsidR="00022BED" w:rsidRPr="00760411" w:rsidRDefault="00022BED" w:rsidP="00BA2C24">
            <w:pPr>
              <w:rPr>
                <w:b/>
                <w:bCs/>
                <w:color w:val="000000"/>
                <w:sz w:val="20"/>
                <w:szCs w:val="20"/>
              </w:rPr>
            </w:pPr>
            <w:r w:rsidRPr="00760411">
              <w:rPr>
                <w:b/>
                <w:bCs/>
                <w:color w:val="000000"/>
                <w:sz w:val="20"/>
                <w:szCs w:val="20"/>
              </w:rPr>
              <w:t>CASH FROM FINANCING ACTIVITIES</w:t>
            </w:r>
          </w:p>
        </w:tc>
        <w:tc>
          <w:tcPr>
            <w:tcW w:w="560" w:type="dxa"/>
            <w:tcBorders>
              <w:top w:val="nil"/>
              <w:left w:val="nil"/>
              <w:bottom w:val="nil"/>
              <w:right w:val="nil"/>
            </w:tcBorders>
            <w:shd w:val="clear" w:color="auto" w:fill="auto"/>
            <w:noWrap/>
            <w:vAlign w:val="center"/>
            <w:hideMark/>
          </w:tcPr>
          <w:p w14:paraId="3C385F4E" w14:textId="77777777" w:rsidR="00022BED" w:rsidRPr="00760411" w:rsidRDefault="00022BED" w:rsidP="00BA2C24">
            <w:pPr>
              <w:rPr>
                <w:b/>
                <w:bCs/>
                <w:color w:val="000000"/>
                <w:sz w:val="20"/>
                <w:szCs w:val="20"/>
              </w:rPr>
            </w:pPr>
          </w:p>
        </w:tc>
        <w:tc>
          <w:tcPr>
            <w:tcW w:w="1721" w:type="dxa"/>
            <w:tcBorders>
              <w:top w:val="nil"/>
              <w:left w:val="nil"/>
              <w:bottom w:val="nil"/>
              <w:right w:val="nil"/>
            </w:tcBorders>
            <w:shd w:val="clear" w:color="auto" w:fill="auto"/>
            <w:noWrap/>
            <w:vAlign w:val="center"/>
            <w:hideMark/>
          </w:tcPr>
          <w:p w14:paraId="59AD08D4"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5E389085"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3B0D208C" w14:textId="77777777" w:rsidR="00022BED" w:rsidRPr="00760411" w:rsidRDefault="00022BED" w:rsidP="00BA2C24">
            <w:pPr>
              <w:jc w:val="right"/>
              <w:rPr>
                <w:sz w:val="20"/>
                <w:szCs w:val="20"/>
              </w:rPr>
            </w:pPr>
          </w:p>
        </w:tc>
      </w:tr>
      <w:tr w:rsidR="00022BED" w:rsidRPr="00760411" w14:paraId="07EF171A"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A986008" w14:textId="77777777" w:rsidR="00022BED" w:rsidRPr="00760411" w:rsidRDefault="00022BED" w:rsidP="00BA2C24">
            <w:pPr>
              <w:ind w:firstLineChars="100" w:firstLine="200"/>
              <w:rPr>
                <w:color w:val="000000"/>
                <w:sz w:val="20"/>
                <w:szCs w:val="20"/>
              </w:rPr>
            </w:pPr>
            <w:r w:rsidRPr="00760411">
              <w:rPr>
                <w:color w:val="000000"/>
                <w:sz w:val="20"/>
                <w:szCs w:val="20"/>
              </w:rPr>
              <w:t>Common shares issued, net of share issuance costs</w:t>
            </w:r>
          </w:p>
        </w:tc>
        <w:tc>
          <w:tcPr>
            <w:tcW w:w="560" w:type="dxa"/>
            <w:tcBorders>
              <w:top w:val="nil"/>
              <w:left w:val="nil"/>
              <w:bottom w:val="nil"/>
              <w:right w:val="nil"/>
            </w:tcBorders>
            <w:shd w:val="clear" w:color="auto" w:fill="auto"/>
            <w:noWrap/>
            <w:vAlign w:val="center"/>
            <w:hideMark/>
          </w:tcPr>
          <w:p w14:paraId="72A90B17" w14:textId="77777777" w:rsidR="00022BED" w:rsidRPr="00760411" w:rsidRDefault="00022BED"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5A1B6425" w14:textId="66EB57EC" w:rsidR="00022BED" w:rsidRPr="00760411" w:rsidRDefault="00022BED" w:rsidP="00BA2C24">
            <w:pPr>
              <w:jc w:val="right"/>
              <w:rPr>
                <w:color w:val="000000"/>
                <w:sz w:val="20"/>
                <w:szCs w:val="20"/>
              </w:rPr>
            </w:pPr>
            <w:r w:rsidRPr="00760411">
              <w:rPr>
                <w:color w:val="000000"/>
                <w:sz w:val="20"/>
                <w:szCs w:val="20"/>
              </w:rPr>
              <w:t>1,</w:t>
            </w:r>
            <w:r w:rsidR="00286F5B">
              <w:rPr>
                <w:color w:val="000000"/>
                <w:sz w:val="20"/>
                <w:szCs w:val="20"/>
              </w:rPr>
              <w:t>0</w:t>
            </w:r>
            <w:r w:rsidRPr="00760411">
              <w:rPr>
                <w:color w:val="000000"/>
                <w:sz w:val="20"/>
                <w:szCs w:val="20"/>
              </w:rPr>
              <w:t>93,700</w:t>
            </w:r>
          </w:p>
        </w:tc>
        <w:tc>
          <w:tcPr>
            <w:tcW w:w="400" w:type="dxa"/>
            <w:tcBorders>
              <w:top w:val="nil"/>
              <w:left w:val="nil"/>
              <w:bottom w:val="nil"/>
              <w:right w:val="nil"/>
            </w:tcBorders>
            <w:shd w:val="clear" w:color="auto" w:fill="auto"/>
            <w:noWrap/>
            <w:vAlign w:val="center"/>
            <w:hideMark/>
          </w:tcPr>
          <w:p w14:paraId="67DDC3C5" w14:textId="77777777" w:rsidR="00022BED" w:rsidRPr="00760411" w:rsidRDefault="00022BED"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1AC3EB9" w14:textId="77777777" w:rsidR="00022BED" w:rsidRPr="00760411" w:rsidRDefault="00022BED" w:rsidP="00BA2C24">
            <w:pPr>
              <w:jc w:val="right"/>
              <w:rPr>
                <w:color w:val="000000"/>
                <w:sz w:val="20"/>
                <w:szCs w:val="20"/>
              </w:rPr>
            </w:pPr>
            <w:r w:rsidRPr="00760411">
              <w:rPr>
                <w:color w:val="000000"/>
                <w:sz w:val="20"/>
                <w:szCs w:val="20"/>
              </w:rPr>
              <w:t>-</w:t>
            </w:r>
          </w:p>
        </w:tc>
      </w:tr>
      <w:tr w:rsidR="00C72D71" w:rsidRPr="00760411" w14:paraId="55A51D84"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17A67AF" w14:textId="7C0E7928" w:rsidR="00C72D71" w:rsidRPr="00760411" w:rsidRDefault="00C72D71" w:rsidP="00BA2C24">
            <w:pPr>
              <w:ind w:firstLineChars="100" w:firstLine="200"/>
              <w:rPr>
                <w:color w:val="000000"/>
                <w:sz w:val="20"/>
                <w:szCs w:val="20"/>
              </w:rPr>
            </w:pPr>
            <w:r w:rsidRPr="00760411">
              <w:rPr>
                <w:color w:val="000000"/>
                <w:sz w:val="20"/>
                <w:szCs w:val="20"/>
              </w:rPr>
              <w:t>Convertible debentures issued, net of debt issuance costs</w:t>
            </w:r>
          </w:p>
        </w:tc>
        <w:tc>
          <w:tcPr>
            <w:tcW w:w="560" w:type="dxa"/>
            <w:tcBorders>
              <w:top w:val="nil"/>
              <w:left w:val="nil"/>
              <w:bottom w:val="nil"/>
              <w:right w:val="nil"/>
            </w:tcBorders>
            <w:shd w:val="clear" w:color="auto" w:fill="auto"/>
            <w:noWrap/>
            <w:vAlign w:val="center"/>
            <w:hideMark/>
          </w:tcPr>
          <w:p w14:paraId="2FE88768" w14:textId="77777777" w:rsidR="00C72D71" w:rsidRPr="00760411" w:rsidRDefault="00C72D71"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069F6AAA" w14:textId="5D7E9D41" w:rsidR="00C72D71" w:rsidRPr="00760411" w:rsidRDefault="00C72D71" w:rsidP="00BA2C24">
            <w:pPr>
              <w:jc w:val="right"/>
              <w:rPr>
                <w:color w:val="000000"/>
                <w:sz w:val="20"/>
                <w:szCs w:val="20"/>
              </w:rPr>
            </w:pPr>
            <w:r w:rsidRPr="00760411">
              <w:rPr>
                <w:color w:val="000000"/>
                <w:sz w:val="20"/>
                <w:szCs w:val="20"/>
              </w:rPr>
              <w:t>1,262,850</w:t>
            </w:r>
          </w:p>
        </w:tc>
        <w:tc>
          <w:tcPr>
            <w:tcW w:w="400" w:type="dxa"/>
            <w:tcBorders>
              <w:top w:val="nil"/>
              <w:left w:val="nil"/>
              <w:bottom w:val="nil"/>
              <w:right w:val="nil"/>
            </w:tcBorders>
            <w:shd w:val="clear" w:color="auto" w:fill="auto"/>
            <w:noWrap/>
            <w:vAlign w:val="center"/>
            <w:hideMark/>
          </w:tcPr>
          <w:p w14:paraId="2CCBB2FB"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1D9E1C01" w14:textId="0B69E069" w:rsidR="00C72D71" w:rsidRPr="00760411" w:rsidRDefault="00C72D71" w:rsidP="00BA2C24">
            <w:pPr>
              <w:jc w:val="right"/>
              <w:rPr>
                <w:color w:val="000000"/>
                <w:sz w:val="20"/>
                <w:szCs w:val="20"/>
              </w:rPr>
            </w:pPr>
            <w:r w:rsidRPr="00760411">
              <w:rPr>
                <w:color w:val="000000"/>
                <w:sz w:val="20"/>
                <w:szCs w:val="20"/>
              </w:rPr>
              <w:t>400,000</w:t>
            </w:r>
          </w:p>
        </w:tc>
      </w:tr>
      <w:tr w:rsidR="00022BED" w:rsidRPr="00760411" w14:paraId="6E466067"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225136C3" w14:textId="77777777" w:rsidR="00022BED" w:rsidRPr="00760411" w:rsidRDefault="00022BED" w:rsidP="00BA2C24">
            <w:pPr>
              <w:ind w:firstLineChars="100" w:firstLine="200"/>
              <w:rPr>
                <w:color w:val="000000"/>
                <w:sz w:val="20"/>
                <w:szCs w:val="20"/>
              </w:rPr>
            </w:pPr>
            <w:r w:rsidRPr="00760411">
              <w:rPr>
                <w:color w:val="000000"/>
                <w:sz w:val="20"/>
                <w:szCs w:val="20"/>
              </w:rPr>
              <w:t>Proceeds on convertible debentures received in advance</w:t>
            </w:r>
          </w:p>
        </w:tc>
        <w:tc>
          <w:tcPr>
            <w:tcW w:w="560" w:type="dxa"/>
            <w:tcBorders>
              <w:top w:val="nil"/>
              <w:left w:val="nil"/>
              <w:bottom w:val="nil"/>
              <w:right w:val="nil"/>
            </w:tcBorders>
            <w:shd w:val="clear" w:color="auto" w:fill="auto"/>
            <w:noWrap/>
            <w:vAlign w:val="center"/>
            <w:hideMark/>
          </w:tcPr>
          <w:p w14:paraId="20AE9123" w14:textId="77777777" w:rsidR="00022BED" w:rsidRPr="00760411" w:rsidRDefault="00022BED"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6402AB54" w14:textId="77777777" w:rsidR="00022BED" w:rsidRPr="00760411" w:rsidRDefault="00022BED" w:rsidP="00BA2C24">
            <w:pPr>
              <w:jc w:val="right"/>
              <w:rPr>
                <w:color w:val="000000"/>
                <w:sz w:val="20"/>
                <w:szCs w:val="20"/>
              </w:rPr>
            </w:pPr>
            <w:r w:rsidRPr="00760411">
              <w:rPr>
                <w:color w:val="000000"/>
                <w:sz w:val="20"/>
                <w:szCs w:val="20"/>
              </w:rPr>
              <w:t>-</w:t>
            </w:r>
          </w:p>
        </w:tc>
        <w:tc>
          <w:tcPr>
            <w:tcW w:w="400" w:type="dxa"/>
            <w:tcBorders>
              <w:top w:val="nil"/>
              <w:left w:val="nil"/>
              <w:bottom w:val="nil"/>
              <w:right w:val="nil"/>
            </w:tcBorders>
            <w:shd w:val="clear" w:color="auto" w:fill="auto"/>
            <w:noWrap/>
            <w:vAlign w:val="center"/>
            <w:hideMark/>
          </w:tcPr>
          <w:p w14:paraId="55739785" w14:textId="77777777" w:rsidR="00022BED" w:rsidRPr="00760411" w:rsidRDefault="00022BED"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4E88B9A2" w14:textId="77777777" w:rsidR="00022BED" w:rsidRPr="00760411" w:rsidRDefault="00022BED" w:rsidP="00BA2C24">
            <w:pPr>
              <w:jc w:val="right"/>
              <w:rPr>
                <w:color w:val="000000"/>
                <w:sz w:val="20"/>
                <w:szCs w:val="20"/>
              </w:rPr>
            </w:pPr>
            <w:r w:rsidRPr="00760411">
              <w:rPr>
                <w:color w:val="000000"/>
                <w:sz w:val="20"/>
                <w:szCs w:val="20"/>
              </w:rPr>
              <w:t>160,000</w:t>
            </w:r>
          </w:p>
        </w:tc>
      </w:tr>
      <w:tr w:rsidR="00C72D71" w:rsidRPr="00760411" w14:paraId="0EB6B882"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6BC3045B" w14:textId="43AF40AD" w:rsidR="00C72D71" w:rsidRPr="00760411" w:rsidRDefault="00C72D71" w:rsidP="00BA2C24">
            <w:pPr>
              <w:ind w:firstLineChars="100" w:firstLine="200"/>
              <w:rPr>
                <w:color w:val="000000"/>
                <w:sz w:val="20"/>
                <w:szCs w:val="20"/>
              </w:rPr>
            </w:pPr>
            <w:r w:rsidRPr="00760411">
              <w:rPr>
                <w:color w:val="000000"/>
                <w:sz w:val="20"/>
                <w:szCs w:val="20"/>
              </w:rPr>
              <w:t>Proceeds from loans received</w:t>
            </w:r>
          </w:p>
        </w:tc>
        <w:tc>
          <w:tcPr>
            <w:tcW w:w="560" w:type="dxa"/>
            <w:tcBorders>
              <w:top w:val="nil"/>
              <w:left w:val="nil"/>
              <w:bottom w:val="nil"/>
              <w:right w:val="nil"/>
            </w:tcBorders>
            <w:shd w:val="clear" w:color="auto" w:fill="auto"/>
            <w:noWrap/>
            <w:vAlign w:val="center"/>
            <w:hideMark/>
          </w:tcPr>
          <w:p w14:paraId="338AF625" w14:textId="77777777" w:rsidR="00C72D71" w:rsidRPr="00760411" w:rsidRDefault="00C72D71"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7511B03F" w14:textId="1BA120D6" w:rsidR="00C72D71" w:rsidRPr="00760411" w:rsidRDefault="00B65836" w:rsidP="00BA2C24">
            <w:pPr>
              <w:jc w:val="right"/>
              <w:rPr>
                <w:color w:val="000000"/>
                <w:sz w:val="20"/>
                <w:szCs w:val="20"/>
              </w:rPr>
            </w:pPr>
            <w:r>
              <w:rPr>
                <w:color w:val="000000"/>
                <w:sz w:val="20"/>
                <w:szCs w:val="20"/>
              </w:rPr>
              <w:t>-</w:t>
            </w:r>
          </w:p>
        </w:tc>
        <w:tc>
          <w:tcPr>
            <w:tcW w:w="400" w:type="dxa"/>
            <w:tcBorders>
              <w:top w:val="nil"/>
              <w:left w:val="nil"/>
              <w:bottom w:val="nil"/>
              <w:right w:val="nil"/>
            </w:tcBorders>
            <w:shd w:val="clear" w:color="auto" w:fill="auto"/>
            <w:noWrap/>
            <w:vAlign w:val="center"/>
            <w:hideMark/>
          </w:tcPr>
          <w:p w14:paraId="42A353AD"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hideMark/>
          </w:tcPr>
          <w:p w14:paraId="0ECDF82E" w14:textId="656CFBC2" w:rsidR="00C72D71" w:rsidRPr="00760411" w:rsidRDefault="00C72D71" w:rsidP="00BA2C24">
            <w:pPr>
              <w:jc w:val="right"/>
              <w:rPr>
                <w:color w:val="000000"/>
                <w:sz w:val="20"/>
                <w:szCs w:val="20"/>
              </w:rPr>
            </w:pPr>
            <w:r w:rsidRPr="00760411">
              <w:rPr>
                <w:color w:val="000000"/>
                <w:sz w:val="20"/>
                <w:szCs w:val="20"/>
              </w:rPr>
              <w:t>40,000</w:t>
            </w:r>
          </w:p>
        </w:tc>
      </w:tr>
      <w:tr w:rsidR="00C72D71" w:rsidRPr="00760411" w14:paraId="45A601B7" w14:textId="77777777" w:rsidTr="00835C5B">
        <w:trPr>
          <w:gridAfter w:val="1"/>
          <w:wAfter w:w="505" w:type="dxa"/>
          <w:trHeight w:val="228"/>
        </w:trPr>
        <w:tc>
          <w:tcPr>
            <w:tcW w:w="5491" w:type="dxa"/>
            <w:tcBorders>
              <w:top w:val="nil"/>
              <w:left w:val="nil"/>
              <w:bottom w:val="nil"/>
              <w:right w:val="nil"/>
            </w:tcBorders>
            <w:shd w:val="clear" w:color="auto" w:fill="auto"/>
            <w:vAlign w:val="center"/>
          </w:tcPr>
          <w:p w14:paraId="7432E18C" w14:textId="04249809" w:rsidR="00C72D71" w:rsidRPr="00760411" w:rsidRDefault="00C72D71" w:rsidP="00BA2C24">
            <w:pPr>
              <w:ind w:firstLineChars="100" w:firstLine="200"/>
              <w:rPr>
                <w:color w:val="000000"/>
                <w:sz w:val="20"/>
                <w:szCs w:val="20"/>
              </w:rPr>
            </w:pPr>
            <w:r w:rsidRPr="00760411">
              <w:rPr>
                <w:color w:val="000000"/>
                <w:sz w:val="20"/>
                <w:szCs w:val="20"/>
              </w:rPr>
              <w:t>Sublease payments received</w:t>
            </w:r>
          </w:p>
        </w:tc>
        <w:tc>
          <w:tcPr>
            <w:tcW w:w="560" w:type="dxa"/>
            <w:tcBorders>
              <w:top w:val="nil"/>
              <w:left w:val="nil"/>
              <w:bottom w:val="nil"/>
              <w:right w:val="nil"/>
            </w:tcBorders>
            <w:shd w:val="clear" w:color="auto" w:fill="auto"/>
            <w:noWrap/>
            <w:vAlign w:val="center"/>
          </w:tcPr>
          <w:p w14:paraId="5F03A554" w14:textId="77777777" w:rsidR="00C72D71" w:rsidRPr="00760411" w:rsidRDefault="00C72D71" w:rsidP="00BA2C24">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tcPr>
          <w:p w14:paraId="29EA6FE4" w14:textId="373B27E2" w:rsidR="00C72D71" w:rsidRPr="00760411" w:rsidRDefault="00C72D71" w:rsidP="00BA2C24">
            <w:pPr>
              <w:jc w:val="right"/>
              <w:rPr>
                <w:color w:val="000000"/>
                <w:sz w:val="20"/>
                <w:szCs w:val="20"/>
              </w:rPr>
            </w:pPr>
            <w:r w:rsidRPr="00760411">
              <w:rPr>
                <w:color w:val="000000"/>
                <w:sz w:val="20"/>
                <w:szCs w:val="20"/>
              </w:rPr>
              <w:t>27,15</w:t>
            </w:r>
            <w:r w:rsidR="009D392C" w:rsidRPr="00760411">
              <w:rPr>
                <w:color w:val="000000"/>
                <w:sz w:val="20"/>
                <w:szCs w:val="20"/>
              </w:rPr>
              <w:t>3</w:t>
            </w:r>
          </w:p>
        </w:tc>
        <w:tc>
          <w:tcPr>
            <w:tcW w:w="400" w:type="dxa"/>
            <w:tcBorders>
              <w:top w:val="nil"/>
              <w:left w:val="nil"/>
              <w:bottom w:val="nil"/>
              <w:right w:val="nil"/>
            </w:tcBorders>
            <w:shd w:val="clear" w:color="auto" w:fill="auto"/>
            <w:noWrap/>
            <w:vAlign w:val="center"/>
          </w:tcPr>
          <w:p w14:paraId="21D358A5" w14:textId="77777777" w:rsidR="00C72D71" w:rsidRPr="00760411" w:rsidRDefault="00C72D71" w:rsidP="00BA2C24">
            <w:pPr>
              <w:jc w:val="right"/>
              <w:rPr>
                <w:color w:val="000000"/>
                <w:sz w:val="20"/>
                <w:szCs w:val="20"/>
              </w:rPr>
            </w:pPr>
          </w:p>
        </w:tc>
        <w:tc>
          <w:tcPr>
            <w:tcW w:w="1503" w:type="dxa"/>
            <w:tcBorders>
              <w:top w:val="nil"/>
              <w:left w:val="nil"/>
              <w:bottom w:val="nil"/>
              <w:right w:val="nil"/>
            </w:tcBorders>
            <w:shd w:val="clear" w:color="auto" w:fill="auto"/>
            <w:noWrap/>
            <w:vAlign w:val="center"/>
          </w:tcPr>
          <w:p w14:paraId="43FC6B1D" w14:textId="61D9117F" w:rsidR="00C72D71" w:rsidRPr="00760411" w:rsidRDefault="00C72D71" w:rsidP="00BA2C24">
            <w:pPr>
              <w:jc w:val="right"/>
              <w:rPr>
                <w:color w:val="000000"/>
                <w:sz w:val="20"/>
                <w:szCs w:val="20"/>
              </w:rPr>
            </w:pPr>
            <w:r w:rsidRPr="00760411">
              <w:rPr>
                <w:color w:val="000000"/>
                <w:sz w:val="20"/>
                <w:szCs w:val="20"/>
              </w:rPr>
              <w:t>-</w:t>
            </w:r>
          </w:p>
        </w:tc>
      </w:tr>
      <w:tr w:rsidR="00C72D71" w:rsidRPr="00760411" w14:paraId="6E7E63FC"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1CED467B" w14:textId="77777777" w:rsidR="00C72D71" w:rsidRPr="00760411" w:rsidRDefault="00C72D71" w:rsidP="00C72D71">
            <w:pPr>
              <w:ind w:firstLineChars="100" w:firstLine="200"/>
              <w:rPr>
                <w:color w:val="000000"/>
                <w:sz w:val="20"/>
                <w:szCs w:val="20"/>
              </w:rPr>
            </w:pPr>
            <w:r w:rsidRPr="00760411">
              <w:rPr>
                <w:color w:val="000000"/>
                <w:sz w:val="20"/>
                <w:szCs w:val="20"/>
              </w:rPr>
              <w:t>Payment of loans payable</w:t>
            </w:r>
          </w:p>
        </w:tc>
        <w:tc>
          <w:tcPr>
            <w:tcW w:w="560" w:type="dxa"/>
            <w:tcBorders>
              <w:top w:val="nil"/>
              <w:left w:val="nil"/>
              <w:bottom w:val="nil"/>
              <w:right w:val="nil"/>
            </w:tcBorders>
            <w:shd w:val="clear" w:color="auto" w:fill="auto"/>
            <w:noWrap/>
            <w:vAlign w:val="center"/>
            <w:hideMark/>
          </w:tcPr>
          <w:p w14:paraId="55B5A849" w14:textId="77777777" w:rsidR="00C72D71" w:rsidRPr="00760411" w:rsidRDefault="00C72D71" w:rsidP="00C72D71">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3505DCED" w14:textId="442CAD14" w:rsidR="00C72D71" w:rsidRPr="00760411" w:rsidRDefault="00255CA3" w:rsidP="00C72D71">
            <w:pPr>
              <w:jc w:val="right"/>
              <w:rPr>
                <w:color w:val="000000"/>
                <w:sz w:val="20"/>
                <w:szCs w:val="20"/>
              </w:rPr>
            </w:pPr>
            <w:r w:rsidRPr="00760411">
              <w:rPr>
                <w:color w:val="000000"/>
                <w:sz w:val="20"/>
                <w:szCs w:val="20"/>
              </w:rPr>
              <w:t>(12,582)</w:t>
            </w:r>
          </w:p>
        </w:tc>
        <w:tc>
          <w:tcPr>
            <w:tcW w:w="400" w:type="dxa"/>
            <w:tcBorders>
              <w:top w:val="nil"/>
              <w:left w:val="nil"/>
              <w:bottom w:val="nil"/>
              <w:right w:val="nil"/>
            </w:tcBorders>
            <w:shd w:val="clear" w:color="auto" w:fill="auto"/>
            <w:noWrap/>
            <w:vAlign w:val="center"/>
            <w:hideMark/>
          </w:tcPr>
          <w:p w14:paraId="3CF932DC"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hideMark/>
          </w:tcPr>
          <w:p w14:paraId="3F20F5B1" w14:textId="6AEF3949" w:rsidR="00C72D71" w:rsidRPr="00760411" w:rsidRDefault="00C72D71" w:rsidP="00C72D71">
            <w:pPr>
              <w:jc w:val="right"/>
              <w:rPr>
                <w:color w:val="000000"/>
                <w:sz w:val="20"/>
                <w:szCs w:val="20"/>
              </w:rPr>
            </w:pPr>
            <w:r w:rsidRPr="00760411">
              <w:rPr>
                <w:sz w:val="20"/>
                <w:szCs w:val="20"/>
              </w:rPr>
              <w:t>(9,217)</w:t>
            </w:r>
          </w:p>
        </w:tc>
      </w:tr>
      <w:tr w:rsidR="00C72D71" w:rsidRPr="00760411" w14:paraId="3E9A90D3"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01CEAED7" w14:textId="77777777" w:rsidR="00C72D71" w:rsidRPr="00760411" w:rsidRDefault="00C72D71" w:rsidP="00C72D71">
            <w:pPr>
              <w:ind w:firstLineChars="100" w:firstLine="200"/>
              <w:rPr>
                <w:color w:val="000000"/>
                <w:sz w:val="20"/>
                <w:szCs w:val="20"/>
              </w:rPr>
            </w:pPr>
            <w:r w:rsidRPr="00760411">
              <w:rPr>
                <w:color w:val="000000"/>
                <w:sz w:val="20"/>
                <w:szCs w:val="20"/>
              </w:rPr>
              <w:t>Payment of lease liabilities</w:t>
            </w:r>
          </w:p>
        </w:tc>
        <w:tc>
          <w:tcPr>
            <w:tcW w:w="560" w:type="dxa"/>
            <w:tcBorders>
              <w:top w:val="nil"/>
              <w:left w:val="nil"/>
              <w:bottom w:val="nil"/>
              <w:right w:val="nil"/>
            </w:tcBorders>
            <w:shd w:val="clear" w:color="auto" w:fill="auto"/>
            <w:noWrap/>
            <w:vAlign w:val="center"/>
            <w:hideMark/>
          </w:tcPr>
          <w:p w14:paraId="71161DFB" w14:textId="77777777" w:rsidR="00C72D71" w:rsidRPr="00760411" w:rsidRDefault="00C72D71" w:rsidP="00C72D71">
            <w:pPr>
              <w:ind w:firstLineChars="100" w:firstLine="200"/>
              <w:rPr>
                <w:color w:val="000000"/>
                <w:sz w:val="20"/>
                <w:szCs w:val="20"/>
              </w:rPr>
            </w:pPr>
          </w:p>
        </w:tc>
        <w:tc>
          <w:tcPr>
            <w:tcW w:w="1721" w:type="dxa"/>
            <w:tcBorders>
              <w:top w:val="nil"/>
              <w:left w:val="nil"/>
              <w:bottom w:val="nil"/>
              <w:right w:val="nil"/>
            </w:tcBorders>
            <w:shd w:val="clear" w:color="auto" w:fill="auto"/>
            <w:noWrap/>
            <w:vAlign w:val="center"/>
            <w:hideMark/>
          </w:tcPr>
          <w:p w14:paraId="78892902" w14:textId="0726DA1C" w:rsidR="00C72D71" w:rsidRPr="00760411" w:rsidRDefault="00C72D71" w:rsidP="00C72D71">
            <w:pPr>
              <w:jc w:val="right"/>
              <w:rPr>
                <w:color w:val="000000"/>
                <w:sz w:val="20"/>
                <w:szCs w:val="20"/>
              </w:rPr>
            </w:pPr>
            <w:r w:rsidRPr="00760411">
              <w:rPr>
                <w:color w:val="000000"/>
                <w:sz w:val="20"/>
                <w:szCs w:val="20"/>
              </w:rPr>
              <w:t>(</w:t>
            </w:r>
            <w:r w:rsidR="002B6A4F" w:rsidRPr="00760411">
              <w:rPr>
                <w:color w:val="000000"/>
                <w:sz w:val="20"/>
                <w:szCs w:val="20"/>
              </w:rPr>
              <w:t>10</w:t>
            </w:r>
            <w:r w:rsidR="00C65AD3" w:rsidRPr="00760411">
              <w:rPr>
                <w:color w:val="000000"/>
                <w:sz w:val="20"/>
                <w:szCs w:val="20"/>
              </w:rPr>
              <w:t>2,833</w:t>
            </w:r>
            <w:r w:rsidRPr="00760411">
              <w:rPr>
                <w:color w:val="000000"/>
                <w:sz w:val="20"/>
                <w:szCs w:val="20"/>
              </w:rPr>
              <w:t>)</w:t>
            </w:r>
          </w:p>
        </w:tc>
        <w:tc>
          <w:tcPr>
            <w:tcW w:w="400" w:type="dxa"/>
            <w:tcBorders>
              <w:top w:val="nil"/>
              <w:left w:val="nil"/>
              <w:bottom w:val="nil"/>
              <w:right w:val="nil"/>
            </w:tcBorders>
            <w:shd w:val="clear" w:color="auto" w:fill="auto"/>
            <w:noWrap/>
            <w:vAlign w:val="center"/>
            <w:hideMark/>
          </w:tcPr>
          <w:p w14:paraId="40F72830"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hideMark/>
          </w:tcPr>
          <w:p w14:paraId="64CD9A05" w14:textId="17D6F93D" w:rsidR="00C72D71" w:rsidRPr="00760411" w:rsidRDefault="00C72D71" w:rsidP="00C72D71">
            <w:pPr>
              <w:jc w:val="right"/>
              <w:rPr>
                <w:color w:val="000000"/>
                <w:sz w:val="20"/>
                <w:szCs w:val="20"/>
              </w:rPr>
            </w:pPr>
            <w:r w:rsidRPr="00760411">
              <w:rPr>
                <w:sz w:val="20"/>
                <w:szCs w:val="20"/>
              </w:rPr>
              <w:t>(102,866)</w:t>
            </w:r>
          </w:p>
        </w:tc>
      </w:tr>
      <w:tr w:rsidR="00022BED" w:rsidRPr="00760411" w14:paraId="7542F64E" w14:textId="77777777" w:rsidTr="00835C5B">
        <w:trPr>
          <w:gridAfter w:val="1"/>
          <w:wAfter w:w="505" w:type="dxa"/>
          <w:trHeight w:val="228"/>
        </w:trPr>
        <w:tc>
          <w:tcPr>
            <w:tcW w:w="5491" w:type="dxa"/>
            <w:tcBorders>
              <w:top w:val="nil"/>
              <w:left w:val="nil"/>
              <w:right w:val="nil"/>
            </w:tcBorders>
            <w:shd w:val="clear" w:color="auto" w:fill="auto"/>
            <w:vAlign w:val="center"/>
            <w:hideMark/>
          </w:tcPr>
          <w:p w14:paraId="4AB2D4C7" w14:textId="77777777" w:rsidR="00022BED" w:rsidRPr="00760411" w:rsidRDefault="00022BED" w:rsidP="00BA2C24">
            <w:pPr>
              <w:ind w:firstLineChars="100" w:firstLine="200"/>
              <w:rPr>
                <w:color w:val="000000"/>
                <w:sz w:val="20"/>
                <w:szCs w:val="20"/>
              </w:rPr>
            </w:pPr>
            <w:r w:rsidRPr="00760411">
              <w:rPr>
                <w:color w:val="000000"/>
                <w:sz w:val="20"/>
                <w:szCs w:val="20"/>
              </w:rPr>
              <w:t>Payment of convertible debentures</w:t>
            </w:r>
          </w:p>
        </w:tc>
        <w:tc>
          <w:tcPr>
            <w:tcW w:w="560" w:type="dxa"/>
            <w:tcBorders>
              <w:top w:val="nil"/>
              <w:left w:val="nil"/>
              <w:right w:val="nil"/>
            </w:tcBorders>
            <w:shd w:val="clear" w:color="auto" w:fill="auto"/>
            <w:noWrap/>
            <w:vAlign w:val="center"/>
            <w:hideMark/>
          </w:tcPr>
          <w:p w14:paraId="4999C63C" w14:textId="77777777" w:rsidR="00022BED" w:rsidRPr="00760411" w:rsidRDefault="00022BED" w:rsidP="00BA2C24">
            <w:pPr>
              <w:ind w:firstLineChars="100" w:firstLine="200"/>
              <w:rPr>
                <w:color w:val="000000"/>
                <w:sz w:val="20"/>
                <w:szCs w:val="20"/>
              </w:rPr>
            </w:pPr>
          </w:p>
        </w:tc>
        <w:tc>
          <w:tcPr>
            <w:tcW w:w="1721" w:type="dxa"/>
            <w:tcBorders>
              <w:top w:val="nil"/>
              <w:left w:val="nil"/>
              <w:right w:val="nil"/>
            </w:tcBorders>
            <w:shd w:val="clear" w:color="auto" w:fill="auto"/>
            <w:noWrap/>
            <w:vAlign w:val="center"/>
            <w:hideMark/>
          </w:tcPr>
          <w:p w14:paraId="2B56D3E0" w14:textId="77777777" w:rsidR="00022BED" w:rsidRPr="00760411" w:rsidRDefault="00022BED" w:rsidP="00BA2C24">
            <w:pPr>
              <w:jc w:val="right"/>
              <w:rPr>
                <w:color w:val="000000"/>
                <w:sz w:val="20"/>
                <w:szCs w:val="20"/>
              </w:rPr>
            </w:pPr>
            <w:r w:rsidRPr="00760411">
              <w:rPr>
                <w:color w:val="000000"/>
                <w:sz w:val="20"/>
                <w:szCs w:val="20"/>
              </w:rPr>
              <w:t>(10,741)</w:t>
            </w:r>
          </w:p>
        </w:tc>
        <w:tc>
          <w:tcPr>
            <w:tcW w:w="400" w:type="dxa"/>
            <w:tcBorders>
              <w:top w:val="nil"/>
              <w:left w:val="nil"/>
              <w:right w:val="nil"/>
            </w:tcBorders>
            <w:shd w:val="clear" w:color="auto" w:fill="auto"/>
            <w:noWrap/>
            <w:vAlign w:val="center"/>
            <w:hideMark/>
          </w:tcPr>
          <w:p w14:paraId="3D0AF751" w14:textId="77777777" w:rsidR="00022BED" w:rsidRPr="00760411" w:rsidRDefault="00022BED" w:rsidP="00BA2C24">
            <w:pPr>
              <w:jc w:val="right"/>
              <w:rPr>
                <w:color w:val="000000"/>
                <w:sz w:val="20"/>
                <w:szCs w:val="20"/>
              </w:rPr>
            </w:pPr>
          </w:p>
        </w:tc>
        <w:tc>
          <w:tcPr>
            <w:tcW w:w="1503" w:type="dxa"/>
            <w:tcBorders>
              <w:top w:val="nil"/>
              <w:left w:val="nil"/>
              <w:right w:val="nil"/>
            </w:tcBorders>
            <w:shd w:val="clear" w:color="auto" w:fill="auto"/>
            <w:noWrap/>
            <w:vAlign w:val="center"/>
            <w:hideMark/>
          </w:tcPr>
          <w:p w14:paraId="68BEA814" w14:textId="77777777" w:rsidR="00022BED" w:rsidRPr="00760411" w:rsidRDefault="00022BED" w:rsidP="00BA2C24">
            <w:pPr>
              <w:jc w:val="right"/>
              <w:rPr>
                <w:sz w:val="20"/>
                <w:szCs w:val="20"/>
              </w:rPr>
            </w:pPr>
            <w:r w:rsidRPr="00760411">
              <w:rPr>
                <w:sz w:val="20"/>
                <w:szCs w:val="20"/>
              </w:rPr>
              <w:t>-</w:t>
            </w:r>
          </w:p>
        </w:tc>
      </w:tr>
      <w:tr w:rsidR="00022BED" w:rsidRPr="00760411" w14:paraId="03D936F7" w14:textId="77777777" w:rsidTr="00835C5B">
        <w:trPr>
          <w:gridAfter w:val="1"/>
          <w:wAfter w:w="505" w:type="dxa"/>
          <w:trHeight w:val="228"/>
        </w:trPr>
        <w:tc>
          <w:tcPr>
            <w:tcW w:w="5491" w:type="dxa"/>
            <w:tcBorders>
              <w:left w:val="nil"/>
              <w:bottom w:val="single" w:sz="4" w:space="0" w:color="auto"/>
              <w:right w:val="nil"/>
            </w:tcBorders>
            <w:shd w:val="clear" w:color="auto" w:fill="auto"/>
            <w:vAlign w:val="center"/>
            <w:hideMark/>
          </w:tcPr>
          <w:p w14:paraId="24F015E2" w14:textId="77777777" w:rsidR="00022BED" w:rsidRPr="00760411" w:rsidRDefault="00022BED" w:rsidP="00BA2C24">
            <w:pPr>
              <w:ind w:firstLineChars="100" w:firstLine="200"/>
              <w:rPr>
                <w:color w:val="000000"/>
                <w:sz w:val="20"/>
                <w:szCs w:val="20"/>
              </w:rPr>
            </w:pPr>
            <w:r w:rsidRPr="00760411">
              <w:rPr>
                <w:color w:val="000000"/>
                <w:sz w:val="20"/>
                <w:szCs w:val="20"/>
              </w:rPr>
              <w:t>Redemption of bonds</w:t>
            </w:r>
          </w:p>
        </w:tc>
        <w:tc>
          <w:tcPr>
            <w:tcW w:w="560" w:type="dxa"/>
            <w:tcBorders>
              <w:left w:val="nil"/>
              <w:bottom w:val="single" w:sz="4" w:space="0" w:color="auto"/>
              <w:right w:val="nil"/>
            </w:tcBorders>
            <w:shd w:val="clear" w:color="auto" w:fill="auto"/>
            <w:noWrap/>
            <w:vAlign w:val="center"/>
            <w:hideMark/>
          </w:tcPr>
          <w:p w14:paraId="29844935" w14:textId="77777777" w:rsidR="00022BED" w:rsidRPr="00760411" w:rsidRDefault="00022BED" w:rsidP="00BA2C24">
            <w:pPr>
              <w:jc w:val="right"/>
              <w:rPr>
                <w:color w:val="000000"/>
                <w:sz w:val="20"/>
                <w:szCs w:val="20"/>
              </w:rPr>
            </w:pPr>
            <w:r w:rsidRPr="00760411">
              <w:rPr>
                <w:color w:val="000000"/>
                <w:sz w:val="20"/>
                <w:szCs w:val="20"/>
              </w:rPr>
              <w:t> </w:t>
            </w:r>
          </w:p>
        </w:tc>
        <w:tc>
          <w:tcPr>
            <w:tcW w:w="1721" w:type="dxa"/>
            <w:tcBorders>
              <w:left w:val="nil"/>
              <w:bottom w:val="single" w:sz="4" w:space="0" w:color="auto"/>
              <w:right w:val="nil"/>
            </w:tcBorders>
            <w:shd w:val="clear" w:color="auto" w:fill="auto"/>
            <w:noWrap/>
            <w:vAlign w:val="center"/>
            <w:hideMark/>
          </w:tcPr>
          <w:p w14:paraId="52F94261" w14:textId="4132A6FE" w:rsidR="00022BED" w:rsidRPr="00760411" w:rsidRDefault="00022BED" w:rsidP="00BA2C24">
            <w:pPr>
              <w:jc w:val="right"/>
              <w:rPr>
                <w:color w:val="000000"/>
                <w:sz w:val="20"/>
                <w:szCs w:val="20"/>
              </w:rPr>
            </w:pPr>
            <w:r w:rsidRPr="00760411">
              <w:rPr>
                <w:color w:val="000000"/>
                <w:sz w:val="20"/>
                <w:szCs w:val="20"/>
              </w:rPr>
              <w:t>(</w:t>
            </w:r>
            <w:r w:rsidR="00141B43" w:rsidRPr="00760411">
              <w:rPr>
                <w:color w:val="000000"/>
                <w:sz w:val="20"/>
                <w:szCs w:val="20"/>
              </w:rPr>
              <w:t>21,661</w:t>
            </w:r>
            <w:r w:rsidRPr="00760411">
              <w:rPr>
                <w:color w:val="000000"/>
                <w:sz w:val="20"/>
                <w:szCs w:val="20"/>
              </w:rPr>
              <w:t>)</w:t>
            </w:r>
          </w:p>
        </w:tc>
        <w:tc>
          <w:tcPr>
            <w:tcW w:w="400" w:type="dxa"/>
            <w:tcBorders>
              <w:left w:val="nil"/>
              <w:bottom w:val="single" w:sz="4" w:space="0" w:color="auto"/>
              <w:right w:val="nil"/>
            </w:tcBorders>
            <w:shd w:val="clear" w:color="auto" w:fill="auto"/>
            <w:noWrap/>
            <w:vAlign w:val="center"/>
            <w:hideMark/>
          </w:tcPr>
          <w:p w14:paraId="3F74720F" w14:textId="77777777" w:rsidR="00022BED" w:rsidRPr="00760411" w:rsidRDefault="00022BED" w:rsidP="00BA2C24">
            <w:pPr>
              <w:jc w:val="right"/>
              <w:rPr>
                <w:color w:val="000000"/>
                <w:sz w:val="20"/>
                <w:szCs w:val="20"/>
              </w:rPr>
            </w:pPr>
            <w:r w:rsidRPr="00760411">
              <w:rPr>
                <w:color w:val="000000"/>
                <w:sz w:val="20"/>
                <w:szCs w:val="20"/>
              </w:rPr>
              <w:t> </w:t>
            </w:r>
          </w:p>
        </w:tc>
        <w:tc>
          <w:tcPr>
            <w:tcW w:w="1503" w:type="dxa"/>
            <w:tcBorders>
              <w:left w:val="nil"/>
              <w:bottom w:val="single" w:sz="4" w:space="0" w:color="auto"/>
              <w:right w:val="nil"/>
            </w:tcBorders>
            <w:shd w:val="clear" w:color="auto" w:fill="auto"/>
            <w:noWrap/>
            <w:vAlign w:val="center"/>
            <w:hideMark/>
          </w:tcPr>
          <w:p w14:paraId="714875B9" w14:textId="25557ADD" w:rsidR="00022BED" w:rsidRPr="00760411" w:rsidRDefault="00C72D71" w:rsidP="00BA2C24">
            <w:pPr>
              <w:jc w:val="right"/>
              <w:rPr>
                <w:color w:val="000000"/>
                <w:sz w:val="20"/>
                <w:szCs w:val="20"/>
              </w:rPr>
            </w:pPr>
            <w:r w:rsidRPr="00760411">
              <w:rPr>
                <w:sz w:val="20"/>
                <w:szCs w:val="20"/>
              </w:rPr>
              <w:t>(76,466)</w:t>
            </w:r>
          </w:p>
        </w:tc>
      </w:tr>
      <w:tr w:rsidR="00022BED" w:rsidRPr="00760411" w14:paraId="3AB7C84D" w14:textId="77777777" w:rsidTr="00835C5B">
        <w:trPr>
          <w:gridAfter w:val="1"/>
          <w:wAfter w:w="505" w:type="dxa"/>
          <w:trHeight w:val="56"/>
        </w:trPr>
        <w:tc>
          <w:tcPr>
            <w:tcW w:w="5491" w:type="dxa"/>
            <w:tcBorders>
              <w:top w:val="nil"/>
              <w:left w:val="nil"/>
              <w:bottom w:val="nil"/>
              <w:right w:val="nil"/>
            </w:tcBorders>
            <w:shd w:val="clear" w:color="auto" w:fill="auto"/>
            <w:vAlign w:val="center"/>
            <w:hideMark/>
          </w:tcPr>
          <w:p w14:paraId="3F1E65D7"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0C35C738"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06286838"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5732DAA6"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54FAF5E2" w14:textId="77777777" w:rsidR="00022BED" w:rsidRPr="00760411" w:rsidRDefault="00022BED" w:rsidP="00BA2C24">
            <w:pPr>
              <w:jc w:val="right"/>
              <w:rPr>
                <w:sz w:val="20"/>
                <w:szCs w:val="20"/>
              </w:rPr>
            </w:pPr>
          </w:p>
        </w:tc>
      </w:tr>
      <w:tr w:rsidR="00022BED" w:rsidRPr="00760411" w14:paraId="5EDAC785" w14:textId="77777777" w:rsidTr="00835C5B">
        <w:trPr>
          <w:gridAfter w:val="1"/>
          <w:wAfter w:w="505" w:type="dxa"/>
          <w:trHeight w:val="228"/>
        </w:trPr>
        <w:tc>
          <w:tcPr>
            <w:tcW w:w="5491" w:type="dxa"/>
            <w:tcBorders>
              <w:top w:val="nil"/>
              <w:left w:val="nil"/>
              <w:bottom w:val="single" w:sz="4" w:space="0" w:color="auto"/>
              <w:right w:val="nil"/>
            </w:tcBorders>
            <w:shd w:val="clear" w:color="auto" w:fill="auto"/>
            <w:vAlign w:val="center"/>
            <w:hideMark/>
          </w:tcPr>
          <w:p w14:paraId="378C0CB6" w14:textId="77777777" w:rsidR="00022BED" w:rsidRPr="00760411" w:rsidRDefault="00022BED" w:rsidP="00BA2C24">
            <w:pPr>
              <w:rPr>
                <w:color w:val="000000"/>
                <w:sz w:val="20"/>
                <w:szCs w:val="20"/>
              </w:rPr>
            </w:pPr>
            <w:r w:rsidRPr="00760411">
              <w:rPr>
                <w:color w:val="000000"/>
                <w:sz w:val="20"/>
                <w:szCs w:val="20"/>
              </w:rPr>
              <w:t>Net cash generated by financing activities</w:t>
            </w:r>
          </w:p>
        </w:tc>
        <w:tc>
          <w:tcPr>
            <w:tcW w:w="560" w:type="dxa"/>
            <w:tcBorders>
              <w:top w:val="nil"/>
              <w:left w:val="nil"/>
              <w:bottom w:val="single" w:sz="4" w:space="0" w:color="auto"/>
              <w:right w:val="nil"/>
            </w:tcBorders>
            <w:shd w:val="clear" w:color="auto" w:fill="auto"/>
            <w:noWrap/>
            <w:vAlign w:val="center"/>
            <w:hideMark/>
          </w:tcPr>
          <w:p w14:paraId="12D07AAF" w14:textId="77777777" w:rsidR="00022BED" w:rsidRPr="00760411" w:rsidRDefault="00022BED" w:rsidP="00BA2C24">
            <w:pPr>
              <w:jc w:val="right"/>
              <w:rPr>
                <w:color w:val="000000"/>
                <w:sz w:val="20"/>
                <w:szCs w:val="20"/>
              </w:rPr>
            </w:pPr>
            <w:r w:rsidRPr="00760411">
              <w:rPr>
                <w:color w:val="000000"/>
                <w:sz w:val="20"/>
                <w:szCs w:val="20"/>
              </w:rPr>
              <w:t> </w:t>
            </w:r>
          </w:p>
        </w:tc>
        <w:tc>
          <w:tcPr>
            <w:tcW w:w="1721" w:type="dxa"/>
            <w:tcBorders>
              <w:top w:val="nil"/>
              <w:left w:val="nil"/>
              <w:bottom w:val="single" w:sz="4" w:space="0" w:color="auto"/>
              <w:right w:val="nil"/>
            </w:tcBorders>
            <w:shd w:val="clear" w:color="auto" w:fill="auto"/>
            <w:noWrap/>
            <w:vAlign w:val="center"/>
            <w:hideMark/>
          </w:tcPr>
          <w:p w14:paraId="62FF59DF" w14:textId="6D98DA5D" w:rsidR="00022BED" w:rsidRPr="00760411" w:rsidRDefault="00141B43" w:rsidP="00BA2C24">
            <w:pPr>
              <w:jc w:val="right"/>
              <w:rPr>
                <w:color w:val="000000"/>
                <w:sz w:val="20"/>
                <w:szCs w:val="20"/>
              </w:rPr>
            </w:pPr>
            <w:r w:rsidRPr="00760411">
              <w:rPr>
                <w:color w:val="000000"/>
                <w:sz w:val="20"/>
                <w:szCs w:val="20"/>
              </w:rPr>
              <w:t>2,</w:t>
            </w:r>
            <w:r w:rsidR="00286F5B">
              <w:rPr>
                <w:color w:val="000000"/>
                <w:sz w:val="20"/>
                <w:szCs w:val="20"/>
              </w:rPr>
              <w:t>2</w:t>
            </w:r>
            <w:r w:rsidR="00B65836">
              <w:rPr>
                <w:color w:val="000000"/>
                <w:sz w:val="20"/>
                <w:szCs w:val="20"/>
              </w:rPr>
              <w:t>35,886</w:t>
            </w:r>
          </w:p>
        </w:tc>
        <w:tc>
          <w:tcPr>
            <w:tcW w:w="400" w:type="dxa"/>
            <w:tcBorders>
              <w:top w:val="nil"/>
              <w:left w:val="nil"/>
              <w:bottom w:val="single" w:sz="4" w:space="0" w:color="auto"/>
              <w:right w:val="nil"/>
            </w:tcBorders>
            <w:shd w:val="clear" w:color="auto" w:fill="auto"/>
            <w:noWrap/>
            <w:vAlign w:val="center"/>
            <w:hideMark/>
          </w:tcPr>
          <w:p w14:paraId="7927B918" w14:textId="77777777" w:rsidR="00022BED" w:rsidRPr="00760411" w:rsidRDefault="00022BED" w:rsidP="00BA2C24">
            <w:pPr>
              <w:jc w:val="right"/>
              <w:rPr>
                <w:color w:val="000000"/>
                <w:sz w:val="20"/>
                <w:szCs w:val="20"/>
              </w:rPr>
            </w:pPr>
            <w:r w:rsidRPr="00760411">
              <w:rPr>
                <w:color w:val="000000"/>
                <w:sz w:val="20"/>
                <w:szCs w:val="20"/>
              </w:rPr>
              <w:t> </w:t>
            </w:r>
          </w:p>
        </w:tc>
        <w:tc>
          <w:tcPr>
            <w:tcW w:w="1503" w:type="dxa"/>
            <w:tcBorders>
              <w:top w:val="nil"/>
              <w:left w:val="nil"/>
              <w:bottom w:val="single" w:sz="4" w:space="0" w:color="auto"/>
              <w:right w:val="nil"/>
            </w:tcBorders>
            <w:shd w:val="clear" w:color="auto" w:fill="auto"/>
            <w:noWrap/>
            <w:vAlign w:val="center"/>
            <w:hideMark/>
          </w:tcPr>
          <w:p w14:paraId="03F4BBF1" w14:textId="19DFD81F" w:rsidR="00022BED" w:rsidRPr="00760411" w:rsidRDefault="00C72D71" w:rsidP="00BA2C24">
            <w:pPr>
              <w:jc w:val="right"/>
              <w:rPr>
                <w:color w:val="000000"/>
                <w:sz w:val="20"/>
                <w:szCs w:val="20"/>
              </w:rPr>
            </w:pPr>
            <w:r w:rsidRPr="00760411">
              <w:rPr>
                <w:sz w:val="20"/>
                <w:szCs w:val="20"/>
              </w:rPr>
              <w:t>411,451</w:t>
            </w:r>
          </w:p>
        </w:tc>
      </w:tr>
      <w:tr w:rsidR="00022BED" w:rsidRPr="00760411" w14:paraId="16F66840" w14:textId="77777777" w:rsidTr="00835C5B">
        <w:trPr>
          <w:gridAfter w:val="1"/>
          <w:wAfter w:w="505" w:type="dxa"/>
          <w:trHeight w:val="56"/>
        </w:trPr>
        <w:tc>
          <w:tcPr>
            <w:tcW w:w="5491" w:type="dxa"/>
            <w:tcBorders>
              <w:top w:val="nil"/>
              <w:left w:val="nil"/>
              <w:bottom w:val="nil"/>
              <w:right w:val="nil"/>
            </w:tcBorders>
            <w:shd w:val="clear" w:color="auto" w:fill="auto"/>
            <w:vAlign w:val="center"/>
            <w:hideMark/>
          </w:tcPr>
          <w:p w14:paraId="0A251149"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4B14DA70"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7A0CC803"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57620650"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66990234" w14:textId="77777777" w:rsidR="00022BED" w:rsidRPr="00760411" w:rsidRDefault="00022BED" w:rsidP="00BA2C24">
            <w:pPr>
              <w:jc w:val="right"/>
              <w:rPr>
                <w:sz w:val="20"/>
                <w:szCs w:val="20"/>
              </w:rPr>
            </w:pPr>
          </w:p>
        </w:tc>
      </w:tr>
      <w:tr w:rsidR="00C72D71" w:rsidRPr="00760411" w14:paraId="614C8C1F"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060A0D2F" w14:textId="77777777" w:rsidR="00C72D71" w:rsidRPr="00760411" w:rsidRDefault="00C72D71" w:rsidP="00C72D71">
            <w:pPr>
              <w:rPr>
                <w:color w:val="000000"/>
                <w:sz w:val="20"/>
                <w:szCs w:val="20"/>
              </w:rPr>
            </w:pPr>
            <w:r w:rsidRPr="00760411">
              <w:rPr>
                <w:color w:val="000000"/>
                <w:sz w:val="20"/>
                <w:szCs w:val="20"/>
              </w:rPr>
              <w:t>Change in cash during the period</w:t>
            </w:r>
          </w:p>
        </w:tc>
        <w:tc>
          <w:tcPr>
            <w:tcW w:w="560" w:type="dxa"/>
            <w:tcBorders>
              <w:top w:val="nil"/>
              <w:left w:val="nil"/>
              <w:bottom w:val="nil"/>
              <w:right w:val="nil"/>
            </w:tcBorders>
            <w:shd w:val="clear" w:color="auto" w:fill="auto"/>
            <w:noWrap/>
            <w:vAlign w:val="center"/>
            <w:hideMark/>
          </w:tcPr>
          <w:p w14:paraId="4AA884D0" w14:textId="77777777" w:rsidR="00C72D71" w:rsidRPr="00760411" w:rsidRDefault="00C72D71" w:rsidP="00C72D71">
            <w:pPr>
              <w:rPr>
                <w:color w:val="000000"/>
                <w:sz w:val="20"/>
                <w:szCs w:val="20"/>
              </w:rPr>
            </w:pPr>
          </w:p>
        </w:tc>
        <w:tc>
          <w:tcPr>
            <w:tcW w:w="1721" w:type="dxa"/>
            <w:tcBorders>
              <w:top w:val="nil"/>
              <w:left w:val="nil"/>
              <w:bottom w:val="nil"/>
              <w:right w:val="nil"/>
            </w:tcBorders>
            <w:shd w:val="clear" w:color="auto" w:fill="auto"/>
            <w:noWrap/>
            <w:vAlign w:val="center"/>
            <w:hideMark/>
          </w:tcPr>
          <w:p w14:paraId="3DFBF701" w14:textId="36F5E284" w:rsidR="00C72D71" w:rsidRPr="00760411" w:rsidRDefault="00141B43" w:rsidP="00C72D71">
            <w:pPr>
              <w:jc w:val="right"/>
              <w:rPr>
                <w:color w:val="000000"/>
                <w:sz w:val="20"/>
                <w:szCs w:val="20"/>
              </w:rPr>
            </w:pPr>
            <w:r w:rsidRPr="00760411">
              <w:rPr>
                <w:color w:val="000000"/>
                <w:sz w:val="20"/>
                <w:szCs w:val="20"/>
              </w:rPr>
              <w:t>(800,402)</w:t>
            </w:r>
          </w:p>
        </w:tc>
        <w:tc>
          <w:tcPr>
            <w:tcW w:w="400" w:type="dxa"/>
            <w:tcBorders>
              <w:top w:val="nil"/>
              <w:left w:val="nil"/>
              <w:bottom w:val="nil"/>
              <w:right w:val="nil"/>
            </w:tcBorders>
            <w:shd w:val="clear" w:color="auto" w:fill="auto"/>
            <w:noWrap/>
            <w:vAlign w:val="center"/>
            <w:hideMark/>
          </w:tcPr>
          <w:p w14:paraId="063FBA3B" w14:textId="77777777" w:rsidR="00C72D71" w:rsidRPr="00760411" w:rsidRDefault="00C72D71" w:rsidP="00C72D71">
            <w:pPr>
              <w:jc w:val="right"/>
              <w:rPr>
                <w:color w:val="000000"/>
                <w:sz w:val="20"/>
                <w:szCs w:val="20"/>
              </w:rPr>
            </w:pPr>
          </w:p>
        </w:tc>
        <w:tc>
          <w:tcPr>
            <w:tcW w:w="1503" w:type="dxa"/>
            <w:tcBorders>
              <w:top w:val="nil"/>
              <w:left w:val="nil"/>
              <w:bottom w:val="nil"/>
              <w:right w:val="nil"/>
            </w:tcBorders>
            <w:shd w:val="clear" w:color="auto" w:fill="auto"/>
            <w:noWrap/>
            <w:hideMark/>
          </w:tcPr>
          <w:p w14:paraId="55D82D3E" w14:textId="68DBC3E6" w:rsidR="00C72D71" w:rsidRPr="00760411" w:rsidRDefault="00C72D71" w:rsidP="00C72D71">
            <w:pPr>
              <w:jc w:val="right"/>
              <w:rPr>
                <w:color w:val="000000"/>
                <w:sz w:val="20"/>
                <w:szCs w:val="20"/>
              </w:rPr>
            </w:pPr>
            <w:r w:rsidRPr="00760411">
              <w:rPr>
                <w:sz w:val="20"/>
                <w:szCs w:val="20"/>
              </w:rPr>
              <w:t>(477,654)</w:t>
            </w:r>
          </w:p>
        </w:tc>
      </w:tr>
      <w:tr w:rsidR="00C72D71" w:rsidRPr="00760411" w14:paraId="466FB4C2" w14:textId="77777777" w:rsidTr="00835C5B">
        <w:trPr>
          <w:gridAfter w:val="1"/>
          <w:wAfter w:w="505" w:type="dxa"/>
          <w:trHeight w:val="228"/>
        </w:trPr>
        <w:tc>
          <w:tcPr>
            <w:tcW w:w="5491" w:type="dxa"/>
            <w:tcBorders>
              <w:top w:val="nil"/>
              <w:left w:val="nil"/>
              <w:bottom w:val="single" w:sz="4" w:space="0" w:color="auto"/>
              <w:right w:val="nil"/>
            </w:tcBorders>
            <w:shd w:val="clear" w:color="auto" w:fill="auto"/>
            <w:vAlign w:val="center"/>
            <w:hideMark/>
          </w:tcPr>
          <w:p w14:paraId="50A870FB" w14:textId="77777777" w:rsidR="00C72D71" w:rsidRPr="00760411" w:rsidRDefault="00C72D71" w:rsidP="00C72D71">
            <w:pPr>
              <w:rPr>
                <w:color w:val="000000"/>
                <w:sz w:val="20"/>
                <w:szCs w:val="20"/>
              </w:rPr>
            </w:pPr>
            <w:r w:rsidRPr="00760411">
              <w:rPr>
                <w:color w:val="000000"/>
                <w:sz w:val="20"/>
                <w:szCs w:val="20"/>
              </w:rPr>
              <w:t>Cash, beginning of the period</w:t>
            </w:r>
          </w:p>
        </w:tc>
        <w:tc>
          <w:tcPr>
            <w:tcW w:w="560" w:type="dxa"/>
            <w:tcBorders>
              <w:top w:val="nil"/>
              <w:left w:val="nil"/>
              <w:bottom w:val="single" w:sz="4" w:space="0" w:color="auto"/>
              <w:right w:val="nil"/>
            </w:tcBorders>
            <w:shd w:val="clear" w:color="auto" w:fill="auto"/>
            <w:noWrap/>
            <w:vAlign w:val="center"/>
            <w:hideMark/>
          </w:tcPr>
          <w:p w14:paraId="6903205A" w14:textId="77777777" w:rsidR="00C72D71" w:rsidRPr="00760411" w:rsidRDefault="00C72D71" w:rsidP="00C72D71">
            <w:pPr>
              <w:jc w:val="right"/>
              <w:rPr>
                <w:color w:val="000000"/>
                <w:sz w:val="20"/>
                <w:szCs w:val="20"/>
              </w:rPr>
            </w:pPr>
            <w:r w:rsidRPr="00760411">
              <w:rPr>
                <w:color w:val="000000"/>
                <w:sz w:val="20"/>
                <w:szCs w:val="20"/>
              </w:rPr>
              <w:t> </w:t>
            </w:r>
          </w:p>
        </w:tc>
        <w:tc>
          <w:tcPr>
            <w:tcW w:w="1721" w:type="dxa"/>
            <w:tcBorders>
              <w:top w:val="nil"/>
              <w:left w:val="nil"/>
              <w:bottom w:val="single" w:sz="4" w:space="0" w:color="auto"/>
              <w:right w:val="nil"/>
            </w:tcBorders>
            <w:shd w:val="clear" w:color="auto" w:fill="auto"/>
            <w:noWrap/>
            <w:vAlign w:val="center"/>
            <w:hideMark/>
          </w:tcPr>
          <w:p w14:paraId="37FD0E5D" w14:textId="3D1BCB42" w:rsidR="00C72D71" w:rsidRPr="00760411" w:rsidRDefault="00C72D71" w:rsidP="00C72D71">
            <w:pPr>
              <w:jc w:val="right"/>
              <w:rPr>
                <w:color w:val="000000"/>
                <w:sz w:val="20"/>
                <w:szCs w:val="20"/>
              </w:rPr>
            </w:pPr>
            <w:r w:rsidRPr="00760411">
              <w:rPr>
                <w:color w:val="000000"/>
                <w:sz w:val="20"/>
                <w:szCs w:val="20"/>
              </w:rPr>
              <w:t>1,32</w:t>
            </w:r>
            <w:r w:rsidR="00141B43" w:rsidRPr="00760411">
              <w:rPr>
                <w:color w:val="000000"/>
                <w:sz w:val="20"/>
                <w:szCs w:val="20"/>
              </w:rPr>
              <w:t>6,253</w:t>
            </w:r>
          </w:p>
        </w:tc>
        <w:tc>
          <w:tcPr>
            <w:tcW w:w="400" w:type="dxa"/>
            <w:tcBorders>
              <w:top w:val="nil"/>
              <w:left w:val="nil"/>
              <w:bottom w:val="single" w:sz="4" w:space="0" w:color="auto"/>
              <w:right w:val="nil"/>
            </w:tcBorders>
            <w:shd w:val="clear" w:color="auto" w:fill="auto"/>
            <w:noWrap/>
            <w:vAlign w:val="center"/>
            <w:hideMark/>
          </w:tcPr>
          <w:p w14:paraId="021CCE52" w14:textId="77777777" w:rsidR="00C72D71" w:rsidRPr="00760411" w:rsidRDefault="00C72D71" w:rsidP="00C72D71">
            <w:pPr>
              <w:jc w:val="right"/>
              <w:rPr>
                <w:color w:val="000000"/>
                <w:sz w:val="20"/>
                <w:szCs w:val="20"/>
              </w:rPr>
            </w:pPr>
            <w:r w:rsidRPr="00760411">
              <w:rPr>
                <w:color w:val="000000"/>
                <w:sz w:val="20"/>
                <w:szCs w:val="20"/>
              </w:rPr>
              <w:t> </w:t>
            </w:r>
          </w:p>
        </w:tc>
        <w:tc>
          <w:tcPr>
            <w:tcW w:w="1503" w:type="dxa"/>
            <w:tcBorders>
              <w:top w:val="nil"/>
              <w:left w:val="nil"/>
              <w:bottom w:val="single" w:sz="4" w:space="0" w:color="auto"/>
              <w:right w:val="nil"/>
            </w:tcBorders>
            <w:shd w:val="clear" w:color="auto" w:fill="auto"/>
            <w:noWrap/>
            <w:hideMark/>
          </w:tcPr>
          <w:p w14:paraId="2623CCAC" w14:textId="1592B14D" w:rsidR="00C72D71" w:rsidRPr="00760411" w:rsidRDefault="00C72D71" w:rsidP="00C72D71">
            <w:pPr>
              <w:jc w:val="right"/>
              <w:rPr>
                <w:color w:val="000000"/>
                <w:sz w:val="20"/>
                <w:szCs w:val="20"/>
              </w:rPr>
            </w:pPr>
            <w:r w:rsidRPr="00760411">
              <w:rPr>
                <w:sz w:val="20"/>
                <w:szCs w:val="20"/>
              </w:rPr>
              <w:t>755,262</w:t>
            </w:r>
          </w:p>
        </w:tc>
      </w:tr>
      <w:tr w:rsidR="00022BED" w:rsidRPr="00760411" w14:paraId="14514908" w14:textId="77777777" w:rsidTr="00835C5B">
        <w:trPr>
          <w:gridAfter w:val="1"/>
          <w:wAfter w:w="505" w:type="dxa"/>
          <w:trHeight w:val="228"/>
        </w:trPr>
        <w:tc>
          <w:tcPr>
            <w:tcW w:w="5491" w:type="dxa"/>
            <w:tcBorders>
              <w:top w:val="nil"/>
              <w:left w:val="nil"/>
              <w:bottom w:val="double" w:sz="6" w:space="0" w:color="auto"/>
              <w:right w:val="nil"/>
            </w:tcBorders>
            <w:shd w:val="clear" w:color="auto" w:fill="auto"/>
            <w:vAlign w:val="center"/>
            <w:hideMark/>
          </w:tcPr>
          <w:p w14:paraId="467651E4" w14:textId="77777777" w:rsidR="00022BED" w:rsidRPr="00760411" w:rsidRDefault="00022BED" w:rsidP="00BA2C24">
            <w:pPr>
              <w:rPr>
                <w:color w:val="000000"/>
                <w:sz w:val="20"/>
                <w:szCs w:val="20"/>
              </w:rPr>
            </w:pPr>
            <w:r w:rsidRPr="00760411">
              <w:rPr>
                <w:color w:val="000000"/>
                <w:sz w:val="20"/>
                <w:szCs w:val="20"/>
              </w:rPr>
              <w:t>Cash, end of the period</w:t>
            </w:r>
          </w:p>
        </w:tc>
        <w:tc>
          <w:tcPr>
            <w:tcW w:w="560" w:type="dxa"/>
            <w:tcBorders>
              <w:top w:val="nil"/>
              <w:left w:val="nil"/>
              <w:bottom w:val="double" w:sz="6" w:space="0" w:color="auto"/>
              <w:right w:val="nil"/>
            </w:tcBorders>
            <w:shd w:val="clear" w:color="auto" w:fill="auto"/>
            <w:noWrap/>
            <w:vAlign w:val="center"/>
            <w:hideMark/>
          </w:tcPr>
          <w:p w14:paraId="44306262" w14:textId="77777777" w:rsidR="00022BED" w:rsidRPr="00760411" w:rsidRDefault="00022BED" w:rsidP="00BA2C24">
            <w:pPr>
              <w:jc w:val="right"/>
              <w:rPr>
                <w:color w:val="000000"/>
                <w:sz w:val="20"/>
                <w:szCs w:val="20"/>
              </w:rPr>
            </w:pPr>
            <w:r w:rsidRPr="00760411">
              <w:rPr>
                <w:color w:val="000000"/>
                <w:sz w:val="20"/>
                <w:szCs w:val="20"/>
              </w:rPr>
              <w:t>$</w:t>
            </w:r>
          </w:p>
        </w:tc>
        <w:tc>
          <w:tcPr>
            <w:tcW w:w="1721" w:type="dxa"/>
            <w:tcBorders>
              <w:top w:val="nil"/>
              <w:left w:val="nil"/>
              <w:bottom w:val="double" w:sz="6" w:space="0" w:color="auto"/>
              <w:right w:val="nil"/>
            </w:tcBorders>
            <w:shd w:val="clear" w:color="auto" w:fill="auto"/>
            <w:noWrap/>
            <w:vAlign w:val="center"/>
            <w:hideMark/>
          </w:tcPr>
          <w:p w14:paraId="0F3B192E" w14:textId="4F698E63" w:rsidR="00022BED" w:rsidRPr="00760411" w:rsidRDefault="00141B43" w:rsidP="00BA2C24">
            <w:pPr>
              <w:jc w:val="right"/>
              <w:rPr>
                <w:color w:val="000000"/>
                <w:sz w:val="20"/>
                <w:szCs w:val="20"/>
              </w:rPr>
            </w:pPr>
            <w:r w:rsidRPr="00760411">
              <w:rPr>
                <w:color w:val="000000"/>
                <w:sz w:val="20"/>
                <w:szCs w:val="20"/>
              </w:rPr>
              <w:t>525,851</w:t>
            </w:r>
          </w:p>
        </w:tc>
        <w:tc>
          <w:tcPr>
            <w:tcW w:w="400" w:type="dxa"/>
            <w:tcBorders>
              <w:top w:val="nil"/>
              <w:left w:val="nil"/>
              <w:bottom w:val="double" w:sz="6" w:space="0" w:color="auto"/>
              <w:right w:val="nil"/>
            </w:tcBorders>
            <w:shd w:val="clear" w:color="auto" w:fill="auto"/>
            <w:noWrap/>
            <w:vAlign w:val="center"/>
            <w:hideMark/>
          </w:tcPr>
          <w:p w14:paraId="6941A970" w14:textId="77777777" w:rsidR="00022BED" w:rsidRPr="00760411" w:rsidRDefault="00022BED" w:rsidP="00BA2C24">
            <w:pPr>
              <w:jc w:val="right"/>
              <w:rPr>
                <w:color w:val="000000"/>
                <w:sz w:val="20"/>
                <w:szCs w:val="20"/>
              </w:rPr>
            </w:pPr>
            <w:r w:rsidRPr="00760411">
              <w:rPr>
                <w:color w:val="000000"/>
                <w:sz w:val="20"/>
                <w:szCs w:val="20"/>
              </w:rPr>
              <w:t>$</w:t>
            </w:r>
          </w:p>
        </w:tc>
        <w:tc>
          <w:tcPr>
            <w:tcW w:w="1503" w:type="dxa"/>
            <w:tcBorders>
              <w:top w:val="nil"/>
              <w:left w:val="nil"/>
              <w:bottom w:val="double" w:sz="6" w:space="0" w:color="auto"/>
              <w:right w:val="nil"/>
            </w:tcBorders>
            <w:shd w:val="clear" w:color="auto" w:fill="auto"/>
            <w:noWrap/>
            <w:vAlign w:val="center"/>
            <w:hideMark/>
          </w:tcPr>
          <w:p w14:paraId="170E2294" w14:textId="1DC9004E" w:rsidR="00022BED" w:rsidRPr="00760411" w:rsidRDefault="00C72D71" w:rsidP="00BA2C24">
            <w:pPr>
              <w:jc w:val="right"/>
              <w:rPr>
                <w:color w:val="000000"/>
                <w:sz w:val="20"/>
                <w:szCs w:val="20"/>
              </w:rPr>
            </w:pPr>
            <w:r w:rsidRPr="00760411">
              <w:rPr>
                <w:color w:val="000000"/>
                <w:sz w:val="20"/>
                <w:szCs w:val="20"/>
              </w:rPr>
              <w:t>277,608</w:t>
            </w:r>
          </w:p>
        </w:tc>
      </w:tr>
      <w:tr w:rsidR="00022BED" w:rsidRPr="00760411" w14:paraId="4E044DDF" w14:textId="77777777" w:rsidTr="00835C5B">
        <w:trPr>
          <w:gridAfter w:val="1"/>
          <w:wAfter w:w="505" w:type="dxa"/>
          <w:trHeight w:val="180"/>
        </w:trPr>
        <w:tc>
          <w:tcPr>
            <w:tcW w:w="5491" w:type="dxa"/>
            <w:tcBorders>
              <w:top w:val="nil"/>
              <w:left w:val="nil"/>
              <w:bottom w:val="nil"/>
              <w:right w:val="nil"/>
            </w:tcBorders>
            <w:shd w:val="clear" w:color="auto" w:fill="auto"/>
            <w:vAlign w:val="center"/>
            <w:hideMark/>
          </w:tcPr>
          <w:p w14:paraId="0D6B7367" w14:textId="77777777" w:rsidR="00022BED" w:rsidRPr="00760411" w:rsidRDefault="00022BED" w:rsidP="00BA2C24">
            <w:pPr>
              <w:jc w:val="right"/>
              <w:rPr>
                <w:color w:val="000000"/>
                <w:sz w:val="20"/>
                <w:szCs w:val="20"/>
              </w:rPr>
            </w:pPr>
          </w:p>
        </w:tc>
        <w:tc>
          <w:tcPr>
            <w:tcW w:w="560" w:type="dxa"/>
            <w:tcBorders>
              <w:top w:val="nil"/>
              <w:left w:val="nil"/>
              <w:bottom w:val="nil"/>
              <w:right w:val="nil"/>
            </w:tcBorders>
            <w:shd w:val="clear" w:color="auto" w:fill="auto"/>
            <w:noWrap/>
            <w:vAlign w:val="center"/>
            <w:hideMark/>
          </w:tcPr>
          <w:p w14:paraId="6E36F26F" w14:textId="77777777" w:rsidR="00022BED" w:rsidRPr="00760411" w:rsidRDefault="00022BED" w:rsidP="00BA2C24">
            <w:pPr>
              <w:rPr>
                <w:sz w:val="20"/>
                <w:szCs w:val="20"/>
              </w:rPr>
            </w:pPr>
          </w:p>
        </w:tc>
        <w:tc>
          <w:tcPr>
            <w:tcW w:w="1721" w:type="dxa"/>
            <w:tcBorders>
              <w:top w:val="nil"/>
              <w:left w:val="nil"/>
              <w:bottom w:val="nil"/>
              <w:right w:val="nil"/>
            </w:tcBorders>
            <w:shd w:val="clear" w:color="auto" w:fill="auto"/>
            <w:noWrap/>
            <w:vAlign w:val="center"/>
            <w:hideMark/>
          </w:tcPr>
          <w:p w14:paraId="4CFF791F" w14:textId="77777777" w:rsidR="00022BED" w:rsidRPr="00760411" w:rsidRDefault="00022BED" w:rsidP="00BA2C24">
            <w:pPr>
              <w:jc w:val="right"/>
              <w:rPr>
                <w:sz w:val="20"/>
                <w:szCs w:val="20"/>
              </w:rPr>
            </w:pPr>
          </w:p>
        </w:tc>
        <w:tc>
          <w:tcPr>
            <w:tcW w:w="400" w:type="dxa"/>
            <w:tcBorders>
              <w:top w:val="nil"/>
              <w:left w:val="nil"/>
              <w:bottom w:val="nil"/>
              <w:right w:val="nil"/>
            </w:tcBorders>
            <w:shd w:val="clear" w:color="auto" w:fill="auto"/>
            <w:noWrap/>
            <w:vAlign w:val="center"/>
            <w:hideMark/>
          </w:tcPr>
          <w:p w14:paraId="7FD66A35" w14:textId="77777777" w:rsidR="00022BED" w:rsidRPr="00760411" w:rsidRDefault="00022BED" w:rsidP="00BA2C24">
            <w:pPr>
              <w:jc w:val="right"/>
              <w:rPr>
                <w:sz w:val="20"/>
                <w:szCs w:val="20"/>
              </w:rPr>
            </w:pPr>
          </w:p>
        </w:tc>
        <w:tc>
          <w:tcPr>
            <w:tcW w:w="1503" w:type="dxa"/>
            <w:tcBorders>
              <w:top w:val="nil"/>
              <w:left w:val="nil"/>
              <w:bottom w:val="nil"/>
              <w:right w:val="nil"/>
            </w:tcBorders>
            <w:shd w:val="clear" w:color="auto" w:fill="auto"/>
            <w:noWrap/>
            <w:vAlign w:val="center"/>
            <w:hideMark/>
          </w:tcPr>
          <w:p w14:paraId="5FB56C30" w14:textId="77777777" w:rsidR="00022BED" w:rsidRPr="00760411" w:rsidRDefault="00022BED" w:rsidP="00BA2C24">
            <w:pPr>
              <w:jc w:val="right"/>
              <w:rPr>
                <w:sz w:val="20"/>
                <w:szCs w:val="20"/>
              </w:rPr>
            </w:pPr>
          </w:p>
        </w:tc>
      </w:tr>
      <w:tr w:rsidR="00022BED" w:rsidRPr="00760411" w14:paraId="2F2CBBC6" w14:textId="77777777" w:rsidTr="00835C5B">
        <w:trPr>
          <w:gridAfter w:val="1"/>
          <w:wAfter w:w="505" w:type="dxa"/>
          <w:trHeight w:val="228"/>
        </w:trPr>
        <w:tc>
          <w:tcPr>
            <w:tcW w:w="5491" w:type="dxa"/>
            <w:tcBorders>
              <w:top w:val="nil"/>
              <w:left w:val="nil"/>
              <w:bottom w:val="nil"/>
              <w:right w:val="nil"/>
            </w:tcBorders>
            <w:shd w:val="clear" w:color="auto" w:fill="auto"/>
            <w:vAlign w:val="center"/>
            <w:hideMark/>
          </w:tcPr>
          <w:p w14:paraId="162C3516" w14:textId="77777777" w:rsidR="00022BED" w:rsidRPr="00760411" w:rsidRDefault="00022BED" w:rsidP="00BA2C24">
            <w:pPr>
              <w:rPr>
                <w:color w:val="000000"/>
                <w:sz w:val="20"/>
                <w:szCs w:val="20"/>
              </w:rPr>
            </w:pPr>
            <w:r w:rsidRPr="00760411">
              <w:rPr>
                <w:color w:val="000000"/>
                <w:sz w:val="20"/>
                <w:szCs w:val="20"/>
              </w:rPr>
              <w:t>Interest received</w:t>
            </w:r>
          </w:p>
        </w:tc>
        <w:tc>
          <w:tcPr>
            <w:tcW w:w="560" w:type="dxa"/>
            <w:tcBorders>
              <w:top w:val="nil"/>
              <w:left w:val="nil"/>
              <w:bottom w:val="nil"/>
              <w:right w:val="nil"/>
            </w:tcBorders>
            <w:shd w:val="clear" w:color="auto" w:fill="auto"/>
            <w:noWrap/>
            <w:vAlign w:val="center"/>
            <w:hideMark/>
          </w:tcPr>
          <w:p w14:paraId="38FD5500" w14:textId="77777777" w:rsidR="00022BED" w:rsidRPr="00760411" w:rsidRDefault="00022BED" w:rsidP="00BA2C24">
            <w:pPr>
              <w:jc w:val="right"/>
              <w:rPr>
                <w:color w:val="000000"/>
                <w:sz w:val="20"/>
                <w:szCs w:val="20"/>
              </w:rPr>
            </w:pPr>
            <w:r w:rsidRPr="00760411">
              <w:rPr>
                <w:color w:val="000000"/>
                <w:sz w:val="20"/>
                <w:szCs w:val="20"/>
              </w:rPr>
              <w:t>$</w:t>
            </w:r>
          </w:p>
        </w:tc>
        <w:tc>
          <w:tcPr>
            <w:tcW w:w="1721" w:type="dxa"/>
            <w:tcBorders>
              <w:top w:val="nil"/>
              <w:left w:val="nil"/>
              <w:bottom w:val="nil"/>
              <w:right w:val="nil"/>
            </w:tcBorders>
            <w:shd w:val="clear" w:color="auto" w:fill="auto"/>
            <w:noWrap/>
            <w:vAlign w:val="center"/>
            <w:hideMark/>
          </w:tcPr>
          <w:p w14:paraId="69B2A9D4" w14:textId="2D126D0D" w:rsidR="00022BED" w:rsidRPr="00760411" w:rsidRDefault="00B75725" w:rsidP="00BA2C24">
            <w:pPr>
              <w:jc w:val="right"/>
              <w:rPr>
                <w:color w:val="000000"/>
                <w:sz w:val="20"/>
                <w:szCs w:val="20"/>
              </w:rPr>
            </w:pPr>
            <w:r w:rsidRPr="00760411">
              <w:rPr>
                <w:color w:val="000000"/>
                <w:sz w:val="20"/>
                <w:szCs w:val="20"/>
              </w:rPr>
              <w:t>187,705</w:t>
            </w:r>
          </w:p>
        </w:tc>
        <w:tc>
          <w:tcPr>
            <w:tcW w:w="400" w:type="dxa"/>
            <w:tcBorders>
              <w:top w:val="nil"/>
              <w:left w:val="nil"/>
              <w:bottom w:val="nil"/>
              <w:right w:val="nil"/>
            </w:tcBorders>
            <w:shd w:val="clear" w:color="auto" w:fill="auto"/>
            <w:noWrap/>
            <w:vAlign w:val="center"/>
            <w:hideMark/>
          </w:tcPr>
          <w:p w14:paraId="062A1923" w14:textId="77777777" w:rsidR="00022BED" w:rsidRPr="00760411" w:rsidRDefault="00022BED" w:rsidP="00BA2C24">
            <w:pPr>
              <w:jc w:val="right"/>
              <w:rPr>
                <w:color w:val="000000"/>
                <w:sz w:val="20"/>
                <w:szCs w:val="20"/>
              </w:rPr>
            </w:pPr>
            <w:r w:rsidRPr="00760411">
              <w:rPr>
                <w:color w:val="000000"/>
                <w:sz w:val="20"/>
                <w:szCs w:val="20"/>
              </w:rPr>
              <w:t>$</w:t>
            </w:r>
          </w:p>
        </w:tc>
        <w:tc>
          <w:tcPr>
            <w:tcW w:w="1503" w:type="dxa"/>
            <w:tcBorders>
              <w:top w:val="nil"/>
              <w:left w:val="nil"/>
              <w:bottom w:val="nil"/>
              <w:right w:val="nil"/>
            </w:tcBorders>
            <w:shd w:val="clear" w:color="auto" w:fill="auto"/>
            <w:noWrap/>
            <w:vAlign w:val="center"/>
            <w:hideMark/>
          </w:tcPr>
          <w:p w14:paraId="18131581" w14:textId="04932288" w:rsidR="00022BED" w:rsidRPr="00760411" w:rsidRDefault="00C72D71" w:rsidP="00BA2C24">
            <w:pPr>
              <w:jc w:val="right"/>
              <w:rPr>
                <w:color w:val="000000"/>
                <w:sz w:val="20"/>
                <w:szCs w:val="20"/>
              </w:rPr>
            </w:pPr>
            <w:r w:rsidRPr="00760411">
              <w:rPr>
                <w:color w:val="000000"/>
                <w:sz w:val="20"/>
                <w:szCs w:val="20"/>
              </w:rPr>
              <w:t>327,285</w:t>
            </w:r>
          </w:p>
        </w:tc>
      </w:tr>
      <w:tr w:rsidR="00022BED" w:rsidRPr="00760411" w14:paraId="24ECC7B0" w14:textId="77777777" w:rsidTr="00835C5B">
        <w:trPr>
          <w:gridAfter w:val="1"/>
          <w:wAfter w:w="505" w:type="dxa"/>
          <w:trHeight w:val="228"/>
        </w:trPr>
        <w:tc>
          <w:tcPr>
            <w:tcW w:w="5491" w:type="dxa"/>
            <w:tcBorders>
              <w:top w:val="nil"/>
              <w:left w:val="nil"/>
              <w:bottom w:val="double" w:sz="6" w:space="0" w:color="auto"/>
              <w:right w:val="nil"/>
            </w:tcBorders>
            <w:shd w:val="clear" w:color="auto" w:fill="auto"/>
            <w:vAlign w:val="center"/>
            <w:hideMark/>
          </w:tcPr>
          <w:p w14:paraId="622C6076" w14:textId="77777777" w:rsidR="00022BED" w:rsidRPr="00760411" w:rsidRDefault="00022BED" w:rsidP="00BA2C24">
            <w:pPr>
              <w:rPr>
                <w:color w:val="000000"/>
                <w:sz w:val="20"/>
                <w:szCs w:val="20"/>
              </w:rPr>
            </w:pPr>
            <w:r w:rsidRPr="00760411">
              <w:rPr>
                <w:color w:val="000000"/>
                <w:sz w:val="20"/>
                <w:szCs w:val="20"/>
              </w:rPr>
              <w:t>Interest paid</w:t>
            </w:r>
          </w:p>
        </w:tc>
        <w:tc>
          <w:tcPr>
            <w:tcW w:w="560" w:type="dxa"/>
            <w:tcBorders>
              <w:top w:val="nil"/>
              <w:left w:val="nil"/>
              <w:bottom w:val="double" w:sz="6" w:space="0" w:color="auto"/>
              <w:right w:val="nil"/>
            </w:tcBorders>
            <w:shd w:val="clear" w:color="auto" w:fill="auto"/>
            <w:noWrap/>
            <w:vAlign w:val="center"/>
            <w:hideMark/>
          </w:tcPr>
          <w:p w14:paraId="5B7D7E49" w14:textId="77777777" w:rsidR="00022BED" w:rsidRPr="00760411" w:rsidRDefault="00022BED" w:rsidP="00BA2C24">
            <w:pPr>
              <w:jc w:val="right"/>
              <w:rPr>
                <w:color w:val="000000"/>
                <w:sz w:val="20"/>
                <w:szCs w:val="20"/>
              </w:rPr>
            </w:pPr>
            <w:r w:rsidRPr="00760411">
              <w:rPr>
                <w:color w:val="000000"/>
                <w:sz w:val="20"/>
                <w:szCs w:val="20"/>
              </w:rPr>
              <w:t>$</w:t>
            </w:r>
          </w:p>
        </w:tc>
        <w:tc>
          <w:tcPr>
            <w:tcW w:w="1721" w:type="dxa"/>
            <w:tcBorders>
              <w:top w:val="nil"/>
              <w:left w:val="nil"/>
              <w:bottom w:val="double" w:sz="6" w:space="0" w:color="auto"/>
              <w:right w:val="nil"/>
            </w:tcBorders>
            <w:shd w:val="clear" w:color="auto" w:fill="auto"/>
            <w:noWrap/>
            <w:vAlign w:val="center"/>
            <w:hideMark/>
          </w:tcPr>
          <w:p w14:paraId="7862942D" w14:textId="36EE480A" w:rsidR="00022BED" w:rsidRPr="00760411" w:rsidRDefault="00B75725" w:rsidP="00BA2C24">
            <w:pPr>
              <w:jc w:val="right"/>
              <w:rPr>
                <w:color w:val="000000"/>
                <w:sz w:val="20"/>
                <w:szCs w:val="20"/>
              </w:rPr>
            </w:pPr>
            <w:r w:rsidRPr="00760411">
              <w:rPr>
                <w:color w:val="000000"/>
                <w:sz w:val="20"/>
                <w:szCs w:val="20"/>
              </w:rPr>
              <w:t>408,334</w:t>
            </w:r>
          </w:p>
        </w:tc>
        <w:tc>
          <w:tcPr>
            <w:tcW w:w="400" w:type="dxa"/>
            <w:tcBorders>
              <w:top w:val="nil"/>
              <w:left w:val="nil"/>
              <w:bottom w:val="double" w:sz="6" w:space="0" w:color="auto"/>
              <w:right w:val="nil"/>
            </w:tcBorders>
            <w:shd w:val="clear" w:color="auto" w:fill="auto"/>
            <w:noWrap/>
            <w:vAlign w:val="center"/>
            <w:hideMark/>
          </w:tcPr>
          <w:p w14:paraId="78DB847F" w14:textId="77777777" w:rsidR="00022BED" w:rsidRPr="00760411" w:rsidRDefault="00022BED" w:rsidP="00BA2C24">
            <w:pPr>
              <w:jc w:val="right"/>
              <w:rPr>
                <w:color w:val="000000"/>
                <w:sz w:val="20"/>
                <w:szCs w:val="20"/>
              </w:rPr>
            </w:pPr>
            <w:r w:rsidRPr="00760411">
              <w:rPr>
                <w:color w:val="000000"/>
                <w:sz w:val="20"/>
                <w:szCs w:val="20"/>
              </w:rPr>
              <w:t>$</w:t>
            </w:r>
          </w:p>
        </w:tc>
        <w:tc>
          <w:tcPr>
            <w:tcW w:w="1503" w:type="dxa"/>
            <w:tcBorders>
              <w:top w:val="nil"/>
              <w:left w:val="nil"/>
              <w:bottom w:val="double" w:sz="6" w:space="0" w:color="auto"/>
              <w:right w:val="nil"/>
            </w:tcBorders>
            <w:shd w:val="clear" w:color="auto" w:fill="auto"/>
            <w:noWrap/>
            <w:vAlign w:val="center"/>
            <w:hideMark/>
          </w:tcPr>
          <w:p w14:paraId="1876E99C" w14:textId="707DED76" w:rsidR="00022BED" w:rsidRPr="00760411" w:rsidRDefault="00C72D71" w:rsidP="00BA2C24">
            <w:pPr>
              <w:jc w:val="right"/>
              <w:rPr>
                <w:color w:val="000000"/>
                <w:sz w:val="20"/>
                <w:szCs w:val="20"/>
              </w:rPr>
            </w:pPr>
            <w:r w:rsidRPr="00760411">
              <w:rPr>
                <w:color w:val="000000"/>
                <w:sz w:val="20"/>
                <w:szCs w:val="20"/>
              </w:rPr>
              <w:t>127,350</w:t>
            </w:r>
          </w:p>
        </w:tc>
      </w:tr>
      <w:tr w:rsidR="00022BED" w:rsidRPr="00760411" w14:paraId="51BF6A1A" w14:textId="77777777" w:rsidTr="00835C5B">
        <w:trPr>
          <w:trHeight w:val="228"/>
        </w:trPr>
        <w:tc>
          <w:tcPr>
            <w:tcW w:w="10180" w:type="dxa"/>
            <w:gridSpan w:val="6"/>
            <w:tcBorders>
              <w:top w:val="nil"/>
              <w:left w:val="nil"/>
              <w:bottom w:val="nil"/>
              <w:right w:val="nil"/>
            </w:tcBorders>
            <w:shd w:val="clear" w:color="auto" w:fill="auto"/>
            <w:vAlign w:val="center"/>
            <w:hideMark/>
          </w:tcPr>
          <w:p w14:paraId="795F229A" w14:textId="77777777" w:rsidR="00022BED" w:rsidRPr="00760411" w:rsidRDefault="00022BED" w:rsidP="00BA2C24">
            <w:pPr>
              <w:rPr>
                <w:b/>
                <w:bCs/>
                <w:color w:val="000000"/>
                <w:sz w:val="20"/>
                <w:szCs w:val="20"/>
              </w:rPr>
            </w:pPr>
            <w:r w:rsidRPr="00760411">
              <w:rPr>
                <w:b/>
                <w:bCs/>
                <w:color w:val="000000"/>
                <w:sz w:val="20"/>
                <w:szCs w:val="20"/>
              </w:rPr>
              <w:t xml:space="preserve">Supplemental cash flow information </w:t>
            </w:r>
            <w:r w:rsidRPr="00760411">
              <w:rPr>
                <w:color w:val="000000"/>
                <w:sz w:val="20"/>
                <w:szCs w:val="20"/>
              </w:rPr>
              <w:t>(Note 15)</w:t>
            </w:r>
          </w:p>
        </w:tc>
      </w:tr>
      <w:tr w:rsidR="00022BED" w:rsidRPr="00760411" w14:paraId="02F6A07D" w14:textId="77777777" w:rsidTr="00835C5B">
        <w:trPr>
          <w:trHeight w:val="228"/>
        </w:trPr>
        <w:tc>
          <w:tcPr>
            <w:tcW w:w="10180" w:type="dxa"/>
            <w:gridSpan w:val="6"/>
            <w:tcBorders>
              <w:top w:val="nil"/>
              <w:left w:val="nil"/>
              <w:bottom w:val="nil"/>
              <w:right w:val="nil"/>
            </w:tcBorders>
            <w:shd w:val="clear" w:color="auto" w:fill="auto"/>
            <w:vAlign w:val="center"/>
            <w:hideMark/>
          </w:tcPr>
          <w:p w14:paraId="37564089" w14:textId="77777777" w:rsidR="00022BED" w:rsidRPr="00760411" w:rsidRDefault="00022BED" w:rsidP="00BA2C24">
            <w:pPr>
              <w:rPr>
                <w:b/>
                <w:bCs/>
                <w:color w:val="000000"/>
                <w:sz w:val="20"/>
                <w:szCs w:val="20"/>
              </w:rPr>
            </w:pPr>
            <w:r w:rsidRPr="00760411">
              <w:rPr>
                <w:b/>
                <w:bCs/>
                <w:color w:val="000000"/>
                <w:sz w:val="20"/>
                <w:szCs w:val="20"/>
              </w:rPr>
              <w:t xml:space="preserve">Reconciliation of changes in liabilities arising from financing activities </w:t>
            </w:r>
            <w:r w:rsidRPr="00760411">
              <w:rPr>
                <w:color w:val="000000"/>
                <w:sz w:val="20"/>
                <w:szCs w:val="20"/>
              </w:rPr>
              <w:t>(Note 16)</w:t>
            </w:r>
          </w:p>
        </w:tc>
      </w:tr>
    </w:tbl>
    <w:p w14:paraId="27341BC5" w14:textId="77777777" w:rsidR="00B75725" w:rsidRDefault="00B75725" w:rsidP="00730AD9">
      <w:pPr>
        <w:jc w:val="center"/>
        <w:rPr>
          <w:sz w:val="20"/>
          <w:szCs w:val="20"/>
        </w:rPr>
      </w:pPr>
    </w:p>
    <w:p w14:paraId="1120781C" w14:textId="421E807D" w:rsidR="00142E6E" w:rsidRDefault="00A41715" w:rsidP="00730AD9">
      <w:pPr>
        <w:jc w:val="center"/>
        <w:rPr>
          <w:sz w:val="20"/>
          <w:szCs w:val="20"/>
        </w:rPr>
        <w:sectPr w:rsidR="00142E6E" w:rsidSect="00141B43">
          <w:headerReference w:type="default" r:id="rId17"/>
          <w:pgSz w:w="12240" w:h="15840"/>
          <w:pgMar w:top="1440" w:right="1440" w:bottom="993" w:left="1440" w:header="708" w:footer="708" w:gutter="0"/>
          <w:cols w:space="708"/>
          <w:docGrid w:linePitch="360"/>
        </w:sectPr>
      </w:pPr>
      <w:r>
        <w:rPr>
          <w:sz w:val="20"/>
          <w:szCs w:val="20"/>
        </w:rPr>
        <w:t>The accompanying notes are an integral part of these</w:t>
      </w:r>
      <w:r w:rsidR="0053419C">
        <w:rPr>
          <w:sz w:val="20"/>
          <w:szCs w:val="20"/>
        </w:rPr>
        <w:t xml:space="preserve"> condensed</w:t>
      </w:r>
      <w:r>
        <w:rPr>
          <w:sz w:val="20"/>
          <w:szCs w:val="20"/>
        </w:rPr>
        <w:t xml:space="preserve"> consolidated </w:t>
      </w:r>
      <w:r w:rsidR="0053419C">
        <w:rPr>
          <w:sz w:val="20"/>
          <w:szCs w:val="20"/>
        </w:rPr>
        <w:t xml:space="preserve">interim </w:t>
      </w:r>
      <w:r>
        <w:rPr>
          <w:sz w:val="20"/>
          <w:szCs w:val="20"/>
        </w:rPr>
        <w:t>financial statements.</w:t>
      </w:r>
    </w:p>
    <w:p w14:paraId="25AC84C5" w14:textId="77777777" w:rsidR="00A41715" w:rsidRDefault="00A41715" w:rsidP="00730AD9">
      <w:pPr>
        <w:rPr>
          <w:sz w:val="20"/>
          <w:szCs w:val="20"/>
        </w:rPr>
      </w:pPr>
    </w:p>
    <w:p w14:paraId="666E2EB0" w14:textId="77777777" w:rsidR="00520131" w:rsidRDefault="00520131" w:rsidP="00730AD9">
      <w:pPr>
        <w:pStyle w:val="ListParagraph"/>
        <w:numPr>
          <w:ilvl w:val="0"/>
          <w:numId w:val="1"/>
        </w:numPr>
        <w:ind w:left="284"/>
        <w:rPr>
          <w:b/>
          <w:bCs/>
          <w:sz w:val="20"/>
          <w:szCs w:val="20"/>
        </w:rPr>
      </w:pPr>
      <w:r>
        <w:rPr>
          <w:b/>
          <w:bCs/>
          <w:sz w:val="20"/>
          <w:szCs w:val="20"/>
        </w:rPr>
        <w:t>NATURE OF OPERATIONS</w:t>
      </w:r>
    </w:p>
    <w:p w14:paraId="2C020DD3" w14:textId="77777777" w:rsidR="00520131" w:rsidRDefault="00520131" w:rsidP="00730AD9">
      <w:pPr>
        <w:rPr>
          <w:b/>
          <w:bCs/>
          <w:sz w:val="20"/>
          <w:szCs w:val="20"/>
        </w:rPr>
      </w:pPr>
    </w:p>
    <w:p w14:paraId="52039DEC" w14:textId="77777777" w:rsidR="00E73C53" w:rsidRPr="00701647" w:rsidRDefault="00E73C53" w:rsidP="00E73C53">
      <w:pPr>
        <w:ind w:left="284"/>
        <w:jc w:val="both"/>
        <w:rPr>
          <w:sz w:val="20"/>
          <w:szCs w:val="20"/>
        </w:rPr>
      </w:pPr>
      <w:r w:rsidRPr="00701647">
        <w:rPr>
          <w:sz w:val="20"/>
          <w:szCs w:val="20"/>
        </w:rPr>
        <w:t xml:space="preserve">Marble Financial Inc. (formerly MLI Marble Lending Inc.) (“Marble”, collectively with its subsidiaries, the “Company”) was incorporated as Phoenix N2N Capital Inc. under the Business Corporation Act (British Columbia) on July 7, 2015. On September 15, 2016, Marble was continued under the Canada Business Corporation Act and on December 16, </w:t>
      </w:r>
      <w:proofErr w:type="gramStart"/>
      <w:r w:rsidRPr="00701647">
        <w:rPr>
          <w:sz w:val="20"/>
          <w:szCs w:val="20"/>
        </w:rPr>
        <w:t>2015</w:t>
      </w:r>
      <w:proofErr w:type="gramEnd"/>
      <w:r w:rsidRPr="00701647">
        <w:rPr>
          <w:sz w:val="20"/>
          <w:szCs w:val="20"/>
        </w:rPr>
        <w:t xml:space="preserve"> changed its name from Phoenix N2N Capital Inc. to MLI Marble Lending Inc. On November 8, 2019, Marble changed its name from MLI Marble Lending Inc. to Marble Financial Inc. The head office of the Company is located at Suite 404-999 Canada Place, Vancouver, British Columbia, V6C 3E2. </w:t>
      </w:r>
      <w:bookmarkStart w:id="1" w:name="_Hlk17104960"/>
      <w:r w:rsidRPr="00701647">
        <w:rPr>
          <w:sz w:val="20"/>
          <w:szCs w:val="20"/>
        </w:rPr>
        <w:t xml:space="preserve">Marble’s common shares are listed for trading on the Canadian Securities Exchange (“CSE”) under the symbol “MRBL,” quoted on the OTC Pink market under the symbol “MRBLF” and on the Frankfurt Stock Exchange under the symbol “2V0”. </w:t>
      </w:r>
      <w:bookmarkStart w:id="2" w:name="_Hlk57018403"/>
      <w:bookmarkEnd w:id="1"/>
    </w:p>
    <w:p w14:paraId="6FCE38DA" w14:textId="77777777" w:rsidR="00E73C53" w:rsidRPr="00701647" w:rsidRDefault="00E73C53" w:rsidP="00E73C53">
      <w:pPr>
        <w:ind w:left="284"/>
        <w:jc w:val="both"/>
        <w:rPr>
          <w:sz w:val="20"/>
          <w:szCs w:val="20"/>
        </w:rPr>
      </w:pPr>
    </w:p>
    <w:p w14:paraId="55680665" w14:textId="6C462988" w:rsidR="00E73C53" w:rsidRPr="00701647" w:rsidRDefault="00E73C53" w:rsidP="00E73C53">
      <w:pPr>
        <w:ind w:left="284"/>
        <w:jc w:val="both"/>
        <w:rPr>
          <w:sz w:val="20"/>
          <w:szCs w:val="20"/>
        </w:rPr>
      </w:pPr>
      <w:r w:rsidRPr="00701647">
        <w:rPr>
          <w:sz w:val="20"/>
          <w:szCs w:val="20"/>
        </w:rPr>
        <w:t xml:space="preserve">The Company’s primary business activity is to help Canadians proactively rebuild their credit back to mainstream levels through data-driven financial technology solutions and financial literacy and education.  The Company has entered into numerous non-exclusive referral agreements with </w:t>
      </w:r>
      <w:r w:rsidR="006E52CB" w:rsidRPr="00701647">
        <w:rPr>
          <w:sz w:val="20"/>
          <w:szCs w:val="20"/>
        </w:rPr>
        <w:t>third party financial services firms</w:t>
      </w:r>
      <w:r w:rsidRPr="00701647">
        <w:rPr>
          <w:sz w:val="20"/>
          <w:szCs w:val="20"/>
        </w:rPr>
        <w:t>,</w:t>
      </w:r>
      <w:r w:rsidR="006E52CB" w:rsidRPr="00701647">
        <w:rPr>
          <w:sz w:val="20"/>
          <w:szCs w:val="20"/>
        </w:rPr>
        <w:t xml:space="preserve"> and</w:t>
      </w:r>
      <w:r w:rsidRPr="00701647">
        <w:rPr>
          <w:sz w:val="20"/>
          <w:szCs w:val="20"/>
        </w:rPr>
        <w:t xml:space="preserve"> together with </w:t>
      </w:r>
      <w:r w:rsidR="006E52CB" w:rsidRPr="00701647">
        <w:rPr>
          <w:sz w:val="20"/>
          <w:szCs w:val="20"/>
        </w:rPr>
        <w:t xml:space="preserve">internal </w:t>
      </w:r>
      <w:r w:rsidRPr="00701647">
        <w:rPr>
          <w:sz w:val="20"/>
          <w:szCs w:val="20"/>
        </w:rPr>
        <w:t xml:space="preserve">marketing efforts, </w:t>
      </w:r>
      <w:r w:rsidR="006E52CB" w:rsidRPr="00701647">
        <w:rPr>
          <w:sz w:val="20"/>
          <w:szCs w:val="20"/>
        </w:rPr>
        <w:t xml:space="preserve">has enabled </w:t>
      </w:r>
      <w:r w:rsidRPr="00701647">
        <w:rPr>
          <w:sz w:val="20"/>
          <w:szCs w:val="20"/>
        </w:rPr>
        <w:t xml:space="preserve">the Company to provide its innovative products to individual clients referred to the Company. The Company’s </w:t>
      </w:r>
      <w:proofErr w:type="spellStart"/>
      <w:r w:rsidRPr="00701647">
        <w:rPr>
          <w:sz w:val="20"/>
          <w:szCs w:val="20"/>
        </w:rPr>
        <w:t>MyMarble</w:t>
      </w:r>
      <w:proofErr w:type="spellEnd"/>
      <w:r w:rsidRPr="00701647">
        <w:rPr>
          <w:sz w:val="20"/>
          <w:szCs w:val="20"/>
        </w:rPr>
        <w:t xml:space="preserve"> platform</w:t>
      </w:r>
      <w:r w:rsidR="006E52CB" w:rsidRPr="00701647">
        <w:rPr>
          <w:sz w:val="20"/>
          <w:szCs w:val="20"/>
        </w:rPr>
        <w:t>,</w:t>
      </w:r>
      <w:r w:rsidRPr="00701647">
        <w:rPr>
          <w:sz w:val="20"/>
          <w:szCs w:val="20"/>
        </w:rPr>
        <w:t xml:space="preserve"> </w:t>
      </w:r>
      <w:r w:rsidR="006E52CB" w:rsidRPr="00701647">
        <w:rPr>
          <w:sz w:val="20"/>
          <w:szCs w:val="20"/>
        </w:rPr>
        <w:t xml:space="preserve">with software and data-driven artificial intelligence (“AI”) tools, </w:t>
      </w:r>
      <w:r w:rsidRPr="00701647">
        <w:rPr>
          <w:sz w:val="20"/>
          <w:szCs w:val="20"/>
        </w:rPr>
        <w:t>helps underserved Canadians improve their personal finance and creditworthiness</w:t>
      </w:r>
      <w:r w:rsidR="006E52CB" w:rsidRPr="00701647">
        <w:rPr>
          <w:sz w:val="20"/>
          <w:szCs w:val="20"/>
        </w:rPr>
        <w:t>.</w:t>
      </w:r>
      <w:r w:rsidRPr="00701647">
        <w:rPr>
          <w:sz w:val="20"/>
          <w:szCs w:val="20"/>
        </w:rPr>
        <w:t xml:space="preserve"> This proprietary technology platform and diagnostic software allows consumers to leverage artificial intelligence, </w:t>
      </w:r>
      <w:proofErr w:type="gramStart"/>
      <w:r w:rsidRPr="00701647">
        <w:rPr>
          <w:sz w:val="20"/>
          <w:szCs w:val="20"/>
        </w:rPr>
        <w:t>data</w:t>
      </w:r>
      <w:proofErr w:type="gramEnd"/>
      <w:r w:rsidRPr="00701647">
        <w:rPr>
          <w:sz w:val="20"/>
          <w:szCs w:val="20"/>
        </w:rPr>
        <w:t xml:space="preserve"> and statistics to visualize and control their finances and credit score </w:t>
      </w:r>
      <w:r w:rsidR="006E52CB" w:rsidRPr="00701647">
        <w:rPr>
          <w:sz w:val="20"/>
          <w:szCs w:val="20"/>
        </w:rPr>
        <w:t xml:space="preserve">and </w:t>
      </w:r>
      <w:r w:rsidR="00FC2C7D" w:rsidRPr="00701647">
        <w:rPr>
          <w:sz w:val="20"/>
          <w:szCs w:val="20"/>
        </w:rPr>
        <w:t xml:space="preserve">help </w:t>
      </w:r>
      <w:r w:rsidR="006E52CB" w:rsidRPr="00701647">
        <w:rPr>
          <w:sz w:val="20"/>
          <w:szCs w:val="20"/>
        </w:rPr>
        <w:t xml:space="preserve">lead them </w:t>
      </w:r>
      <w:r w:rsidRPr="00701647">
        <w:rPr>
          <w:sz w:val="20"/>
          <w:szCs w:val="20"/>
        </w:rPr>
        <w:t xml:space="preserve">back to mainstream financial services. </w:t>
      </w:r>
    </w:p>
    <w:bookmarkEnd w:id="2"/>
    <w:p w14:paraId="12CA2CA2" w14:textId="77777777" w:rsidR="00E73C53" w:rsidRPr="0007463E" w:rsidRDefault="00E73C53" w:rsidP="00E73C53">
      <w:pPr>
        <w:jc w:val="both"/>
        <w:rPr>
          <w:sz w:val="20"/>
          <w:szCs w:val="20"/>
          <w:highlight w:val="yellow"/>
        </w:rPr>
      </w:pPr>
    </w:p>
    <w:p w14:paraId="711EF174" w14:textId="6AB836C2" w:rsidR="00E73C53" w:rsidRPr="00701647" w:rsidRDefault="00E73C53" w:rsidP="00E73C53">
      <w:pPr>
        <w:ind w:left="284"/>
        <w:jc w:val="both"/>
        <w:rPr>
          <w:sz w:val="20"/>
          <w:szCs w:val="20"/>
        </w:rPr>
      </w:pPr>
      <w:r w:rsidRPr="00701647">
        <w:rPr>
          <w:sz w:val="20"/>
          <w:szCs w:val="20"/>
        </w:rPr>
        <w:t xml:space="preserve">These condensed consolidated </w:t>
      </w:r>
      <w:r w:rsidR="00337092" w:rsidRPr="00701647">
        <w:rPr>
          <w:sz w:val="20"/>
          <w:szCs w:val="20"/>
        </w:rPr>
        <w:t xml:space="preserve">interim </w:t>
      </w:r>
      <w:r w:rsidRPr="00701647">
        <w:rPr>
          <w:sz w:val="20"/>
          <w:szCs w:val="20"/>
        </w:rPr>
        <w:t xml:space="preserve">financial statements have been prepared </w:t>
      </w:r>
      <w:proofErr w:type="gramStart"/>
      <w:r w:rsidRPr="00701647">
        <w:rPr>
          <w:sz w:val="20"/>
          <w:szCs w:val="20"/>
        </w:rPr>
        <w:t>on the basis of</w:t>
      </w:r>
      <w:proofErr w:type="gramEnd"/>
      <w:r w:rsidRPr="00701647">
        <w:rPr>
          <w:sz w:val="20"/>
          <w:szCs w:val="20"/>
        </w:rPr>
        <w:t xml:space="preserve"> a going concern which assumes the Company will be able to realize its assets and discharge its liabilities in the normal course of business.  As </w:t>
      </w:r>
      <w:proofErr w:type="gramStart"/>
      <w:r w:rsidRPr="00701647">
        <w:rPr>
          <w:sz w:val="20"/>
          <w:szCs w:val="20"/>
        </w:rPr>
        <w:t>at</w:t>
      </w:r>
      <w:proofErr w:type="gramEnd"/>
      <w:r w:rsidRPr="00701647">
        <w:rPr>
          <w:sz w:val="20"/>
          <w:szCs w:val="20"/>
        </w:rPr>
        <w:t xml:space="preserve"> </w:t>
      </w:r>
      <w:r w:rsidR="00C117D6" w:rsidRPr="00701647">
        <w:rPr>
          <w:sz w:val="20"/>
          <w:szCs w:val="20"/>
        </w:rPr>
        <w:t>June 30</w:t>
      </w:r>
      <w:r w:rsidRPr="00701647">
        <w:rPr>
          <w:sz w:val="20"/>
          <w:szCs w:val="20"/>
        </w:rPr>
        <w:t>, 2021, the Company had a working capital deficit of $</w:t>
      </w:r>
      <w:r w:rsidR="00701647" w:rsidRPr="00701647">
        <w:rPr>
          <w:sz w:val="20"/>
          <w:szCs w:val="20"/>
        </w:rPr>
        <w:t>3,</w:t>
      </w:r>
      <w:r w:rsidR="008F4A29">
        <w:rPr>
          <w:sz w:val="20"/>
          <w:szCs w:val="20"/>
        </w:rPr>
        <w:t>283,943</w:t>
      </w:r>
      <w:r w:rsidRPr="00701647">
        <w:rPr>
          <w:sz w:val="20"/>
          <w:szCs w:val="20"/>
        </w:rPr>
        <w:t xml:space="preserve"> (December 31, 2020 – $1,140,280), a shareholders’ deficiency of $</w:t>
      </w:r>
      <w:r w:rsidR="00701647" w:rsidRPr="00701647">
        <w:rPr>
          <w:sz w:val="20"/>
          <w:szCs w:val="20"/>
        </w:rPr>
        <w:t>2,</w:t>
      </w:r>
      <w:r w:rsidR="008F4A29">
        <w:rPr>
          <w:sz w:val="20"/>
          <w:szCs w:val="20"/>
        </w:rPr>
        <w:t>871,490</w:t>
      </w:r>
      <w:r w:rsidRPr="00701647">
        <w:rPr>
          <w:sz w:val="20"/>
          <w:szCs w:val="20"/>
        </w:rPr>
        <w:t xml:space="preserve"> (December 31, 2020 – $2,187,901) and an accumulated deficit of $</w:t>
      </w:r>
      <w:r w:rsidR="00701647" w:rsidRPr="00701647">
        <w:rPr>
          <w:sz w:val="20"/>
          <w:szCs w:val="20"/>
        </w:rPr>
        <w:t>13,</w:t>
      </w:r>
      <w:r w:rsidR="008F4A29">
        <w:rPr>
          <w:sz w:val="20"/>
          <w:szCs w:val="20"/>
        </w:rPr>
        <w:t>889,761</w:t>
      </w:r>
      <w:r w:rsidR="00957F7A">
        <w:rPr>
          <w:sz w:val="20"/>
          <w:szCs w:val="20"/>
        </w:rPr>
        <w:t xml:space="preserve"> </w:t>
      </w:r>
      <w:r w:rsidRPr="00701647">
        <w:rPr>
          <w:sz w:val="20"/>
          <w:szCs w:val="20"/>
        </w:rPr>
        <w:t xml:space="preserve">(December 31, 2020 – $11,237,964) and therefore will need ongoing funding to continue its operations.  There is no assurance that additional funding will be available on a timely basis or on terms acceptable to the Company. If the Company is unable to obtain sufficient funding, the ability of the Company to meet its obligations as they come due and, accordingly, the appropriateness of the use of the going concern accounting principle will be in significant doubt.  These condensed consolidated </w:t>
      </w:r>
      <w:r w:rsidR="00337092" w:rsidRPr="00701647">
        <w:rPr>
          <w:sz w:val="20"/>
          <w:szCs w:val="20"/>
        </w:rPr>
        <w:t xml:space="preserve">interim </w:t>
      </w:r>
      <w:r w:rsidRPr="00701647">
        <w:rPr>
          <w:sz w:val="20"/>
          <w:szCs w:val="20"/>
        </w:rPr>
        <w:t>financial statements do not reflect the adjustments or reclassification which would be necessary if the Company were unable to continue its operations in the normal course of business.</w:t>
      </w:r>
    </w:p>
    <w:p w14:paraId="4B21EE98" w14:textId="77777777" w:rsidR="00E73C53" w:rsidRPr="0007463E" w:rsidRDefault="00E73C53" w:rsidP="00E73C53">
      <w:pPr>
        <w:ind w:left="284"/>
        <w:jc w:val="both"/>
        <w:rPr>
          <w:sz w:val="20"/>
          <w:szCs w:val="20"/>
          <w:highlight w:val="yellow"/>
        </w:rPr>
      </w:pPr>
    </w:p>
    <w:p w14:paraId="6FCB1602" w14:textId="4F909473" w:rsidR="00E73C53" w:rsidRPr="00701647" w:rsidRDefault="00E73C53" w:rsidP="00E73C53">
      <w:pPr>
        <w:ind w:left="360"/>
        <w:jc w:val="both"/>
        <w:rPr>
          <w:sz w:val="20"/>
          <w:szCs w:val="20"/>
          <w:lang w:val="en-US"/>
        </w:rPr>
      </w:pPr>
      <w:r w:rsidRPr="00701647">
        <w:rPr>
          <w:sz w:val="20"/>
          <w:szCs w:val="20"/>
          <w:lang w:val="en-US"/>
        </w:rPr>
        <w:t xml:space="preserve">In March 2020, the World Health Organization declared coronavirus COVID-19 a global pandemic. This contagious disease outbreak continues to adversely affect workforces, economies, and financial markets globally, potentially leading to an economic downturn. Currently, it is not possible for the Company to predict the duration or magnitude of the adverse results of the outbreak and its effects on the Company’s business or ability to raise funds. However, weak economic conditions may affect the financial condition and credit worthiness of some of the Company’s consumer debtors. </w:t>
      </w:r>
    </w:p>
    <w:p w14:paraId="371C2E81" w14:textId="4B122B06" w:rsidR="006474AA" w:rsidRPr="0007463E" w:rsidRDefault="006474AA" w:rsidP="00E73C53">
      <w:pPr>
        <w:jc w:val="both"/>
        <w:rPr>
          <w:sz w:val="20"/>
          <w:szCs w:val="20"/>
          <w:highlight w:val="yellow"/>
        </w:rPr>
      </w:pPr>
      <w:r w:rsidRPr="0007463E">
        <w:rPr>
          <w:sz w:val="20"/>
          <w:szCs w:val="20"/>
          <w:highlight w:val="yellow"/>
        </w:rPr>
        <w:br w:type="page"/>
      </w:r>
    </w:p>
    <w:p w14:paraId="5C29F241" w14:textId="77777777" w:rsidR="00520131" w:rsidRPr="00701647" w:rsidRDefault="00520131" w:rsidP="00730AD9">
      <w:pPr>
        <w:rPr>
          <w:sz w:val="20"/>
          <w:szCs w:val="20"/>
        </w:rPr>
      </w:pPr>
    </w:p>
    <w:p w14:paraId="4F30EEE4" w14:textId="77777777" w:rsidR="009A6113" w:rsidRPr="00701647" w:rsidRDefault="009A6113" w:rsidP="00730AD9">
      <w:pPr>
        <w:pStyle w:val="ListParagraph"/>
        <w:numPr>
          <w:ilvl w:val="0"/>
          <w:numId w:val="1"/>
        </w:numPr>
        <w:ind w:left="284"/>
        <w:rPr>
          <w:b/>
          <w:bCs/>
          <w:sz w:val="20"/>
          <w:szCs w:val="20"/>
        </w:rPr>
      </w:pPr>
      <w:r w:rsidRPr="00701647">
        <w:rPr>
          <w:b/>
          <w:bCs/>
          <w:sz w:val="20"/>
          <w:szCs w:val="20"/>
        </w:rPr>
        <w:t>BASIS OF PRESENTATION</w:t>
      </w:r>
    </w:p>
    <w:p w14:paraId="23498D7A" w14:textId="77777777" w:rsidR="009A6113" w:rsidRPr="00701647" w:rsidRDefault="009A6113" w:rsidP="00730AD9">
      <w:pPr>
        <w:rPr>
          <w:b/>
          <w:bCs/>
          <w:sz w:val="20"/>
          <w:szCs w:val="20"/>
        </w:rPr>
      </w:pPr>
    </w:p>
    <w:p w14:paraId="57C54355" w14:textId="77777777" w:rsidR="009A6113" w:rsidRPr="00701647" w:rsidRDefault="009A6113" w:rsidP="00730AD9">
      <w:pPr>
        <w:ind w:left="284"/>
        <w:rPr>
          <w:b/>
          <w:bCs/>
          <w:sz w:val="20"/>
          <w:szCs w:val="20"/>
        </w:rPr>
      </w:pPr>
      <w:r w:rsidRPr="00701647">
        <w:rPr>
          <w:b/>
          <w:bCs/>
          <w:sz w:val="20"/>
          <w:szCs w:val="20"/>
        </w:rPr>
        <w:t>Statement of compliance</w:t>
      </w:r>
    </w:p>
    <w:p w14:paraId="2A1E0B8D" w14:textId="3E94011E" w:rsidR="00D444C6" w:rsidRPr="00701647" w:rsidRDefault="00D444C6" w:rsidP="00A1490E">
      <w:pPr>
        <w:jc w:val="both"/>
        <w:rPr>
          <w:sz w:val="20"/>
          <w:szCs w:val="20"/>
        </w:rPr>
      </w:pPr>
    </w:p>
    <w:p w14:paraId="1A88AA8B" w14:textId="6E4E89F0" w:rsidR="00D444C6" w:rsidRPr="00701647" w:rsidRDefault="00D444C6" w:rsidP="00A1490E">
      <w:pPr>
        <w:ind w:left="284"/>
        <w:jc w:val="both"/>
        <w:rPr>
          <w:sz w:val="20"/>
          <w:szCs w:val="20"/>
        </w:rPr>
      </w:pPr>
      <w:r w:rsidRPr="00701647">
        <w:rPr>
          <w:sz w:val="20"/>
          <w:szCs w:val="20"/>
        </w:rPr>
        <w:t xml:space="preserve">The </w:t>
      </w:r>
      <w:r w:rsidR="00443305" w:rsidRPr="00701647">
        <w:rPr>
          <w:sz w:val="20"/>
          <w:szCs w:val="20"/>
        </w:rPr>
        <w:t>Company</w:t>
      </w:r>
      <w:r w:rsidRPr="00701647">
        <w:rPr>
          <w:sz w:val="20"/>
          <w:szCs w:val="20"/>
        </w:rPr>
        <w:t xml:space="preserve"> prepared these condensed consolidated interim financial statements in accordance with International Accounting Standard 34 (“IAS 34”) Interim Financial Reporting.  These condensed consolidated interim financial statements were approved by the Board of Directors and authorized for issue on </w:t>
      </w:r>
      <w:r w:rsidR="00701647" w:rsidRPr="00835C5B">
        <w:rPr>
          <w:sz w:val="20"/>
          <w:szCs w:val="20"/>
        </w:rPr>
        <w:t>August</w:t>
      </w:r>
      <w:r w:rsidRPr="00835C5B">
        <w:rPr>
          <w:sz w:val="20"/>
          <w:szCs w:val="20"/>
        </w:rPr>
        <w:t xml:space="preserve"> </w:t>
      </w:r>
      <w:r w:rsidR="0022740A" w:rsidRPr="00835C5B">
        <w:rPr>
          <w:sz w:val="20"/>
          <w:szCs w:val="20"/>
        </w:rPr>
        <w:t>30</w:t>
      </w:r>
      <w:r w:rsidRPr="00835C5B">
        <w:rPr>
          <w:sz w:val="20"/>
          <w:szCs w:val="20"/>
        </w:rPr>
        <w:t>, 202</w:t>
      </w:r>
      <w:r w:rsidR="00443305" w:rsidRPr="00835C5B">
        <w:rPr>
          <w:sz w:val="20"/>
          <w:szCs w:val="20"/>
        </w:rPr>
        <w:t>1</w:t>
      </w:r>
      <w:r w:rsidRPr="008344A9">
        <w:rPr>
          <w:sz w:val="20"/>
          <w:szCs w:val="20"/>
        </w:rPr>
        <w:t>.</w:t>
      </w:r>
      <w:r w:rsidRPr="00701647">
        <w:rPr>
          <w:sz w:val="20"/>
          <w:szCs w:val="20"/>
        </w:rPr>
        <w:t xml:space="preserve">  The accounting policies and methods of computation applied by the </w:t>
      </w:r>
      <w:r w:rsidR="00443305" w:rsidRPr="00701647">
        <w:rPr>
          <w:sz w:val="20"/>
          <w:szCs w:val="20"/>
        </w:rPr>
        <w:t>Company</w:t>
      </w:r>
      <w:r w:rsidRPr="00701647">
        <w:rPr>
          <w:sz w:val="20"/>
          <w:szCs w:val="20"/>
        </w:rPr>
        <w:t xml:space="preserve"> in these condensed consolidated interim financial statements are the same as those applied in the </w:t>
      </w:r>
      <w:r w:rsidR="00443305" w:rsidRPr="00701647">
        <w:rPr>
          <w:sz w:val="20"/>
          <w:szCs w:val="20"/>
        </w:rPr>
        <w:t>Company</w:t>
      </w:r>
      <w:r w:rsidRPr="00701647">
        <w:rPr>
          <w:sz w:val="20"/>
          <w:szCs w:val="20"/>
        </w:rPr>
        <w:t>’s annual consolidated financial statements for the year ended December 31, 20</w:t>
      </w:r>
      <w:r w:rsidR="00443305" w:rsidRPr="00701647">
        <w:rPr>
          <w:sz w:val="20"/>
          <w:szCs w:val="20"/>
        </w:rPr>
        <w:t>20</w:t>
      </w:r>
      <w:r w:rsidRPr="00701647">
        <w:rPr>
          <w:sz w:val="20"/>
          <w:szCs w:val="20"/>
        </w:rPr>
        <w:t xml:space="preserve">. </w:t>
      </w:r>
    </w:p>
    <w:p w14:paraId="323F6AEC" w14:textId="77777777" w:rsidR="009A6113" w:rsidRPr="0007463E" w:rsidRDefault="009A6113" w:rsidP="00A1490E">
      <w:pPr>
        <w:rPr>
          <w:b/>
          <w:bCs/>
          <w:sz w:val="20"/>
          <w:szCs w:val="20"/>
          <w:highlight w:val="yellow"/>
        </w:rPr>
      </w:pPr>
    </w:p>
    <w:p w14:paraId="45F5B2D4" w14:textId="77777777" w:rsidR="009A6113" w:rsidRPr="00701647" w:rsidRDefault="009A6113" w:rsidP="00730AD9">
      <w:pPr>
        <w:ind w:left="284"/>
        <w:rPr>
          <w:b/>
          <w:bCs/>
          <w:sz w:val="20"/>
          <w:szCs w:val="20"/>
        </w:rPr>
      </w:pPr>
      <w:r w:rsidRPr="00701647">
        <w:rPr>
          <w:b/>
          <w:bCs/>
          <w:sz w:val="20"/>
          <w:szCs w:val="20"/>
        </w:rPr>
        <w:t>Basis of measurement</w:t>
      </w:r>
    </w:p>
    <w:p w14:paraId="7DDA59B6" w14:textId="77777777" w:rsidR="009A6113" w:rsidRPr="00701647" w:rsidRDefault="009A6113" w:rsidP="00730AD9">
      <w:pPr>
        <w:ind w:left="284"/>
        <w:rPr>
          <w:b/>
          <w:bCs/>
          <w:sz w:val="20"/>
          <w:szCs w:val="20"/>
        </w:rPr>
      </w:pPr>
    </w:p>
    <w:p w14:paraId="3CB08E22" w14:textId="635158B8" w:rsidR="001B2846" w:rsidRPr="00701647" w:rsidRDefault="009A6113" w:rsidP="00730AD9">
      <w:pPr>
        <w:ind w:left="284"/>
        <w:jc w:val="both"/>
        <w:rPr>
          <w:sz w:val="20"/>
          <w:szCs w:val="20"/>
        </w:rPr>
      </w:pPr>
      <w:r w:rsidRPr="00701647">
        <w:rPr>
          <w:sz w:val="20"/>
          <w:szCs w:val="20"/>
        </w:rPr>
        <w:t xml:space="preserve">These </w:t>
      </w:r>
      <w:r w:rsidR="00D444C6" w:rsidRPr="00701647">
        <w:rPr>
          <w:sz w:val="20"/>
          <w:szCs w:val="20"/>
        </w:rPr>
        <w:t xml:space="preserve">condensed </w:t>
      </w:r>
      <w:r w:rsidR="00F9739C" w:rsidRPr="00701647">
        <w:rPr>
          <w:sz w:val="20"/>
          <w:szCs w:val="20"/>
        </w:rPr>
        <w:t>c</w:t>
      </w:r>
      <w:r w:rsidRPr="00701647">
        <w:rPr>
          <w:sz w:val="20"/>
          <w:szCs w:val="20"/>
        </w:rPr>
        <w:t>onsolidated</w:t>
      </w:r>
      <w:r w:rsidR="00D444C6" w:rsidRPr="00701647">
        <w:rPr>
          <w:sz w:val="20"/>
          <w:szCs w:val="20"/>
        </w:rPr>
        <w:t xml:space="preserve"> interim</w:t>
      </w:r>
      <w:r w:rsidR="00E771F8" w:rsidRPr="00701647">
        <w:rPr>
          <w:sz w:val="20"/>
          <w:szCs w:val="20"/>
        </w:rPr>
        <w:t xml:space="preserve"> </w:t>
      </w:r>
      <w:r w:rsidRPr="00701647">
        <w:rPr>
          <w:sz w:val="20"/>
          <w:szCs w:val="20"/>
        </w:rPr>
        <w:t xml:space="preserve">financial statements are prepared on the historical cost basis, except for certain items recorded at fair value. These </w:t>
      </w:r>
      <w:r w:rsidR="00D444C6" w:rsidRPr="00701647">
        <w:rPr>
          <w:sz w:val="20"/>
          <w:szCs w:val="20"/>
        </w:rPr>
        <w:t xml:space="preserve">condensed </w:t>
      </w:r>
      <w:r w:rsidRPr="00701647">
        <w:rPr>
          <w:sz w:val="20"/>
          <w:szCs w:val="20"/>
        </w:rPr>
        <w:t xml:space="preserve">consolidated </w:t>
      </w:r>
      <w:r w:rsidR="00D444C6" w:rsidRPr="00701647">
        <w:rPr>
          <w:sz w:val="20"/>
          <w:szCs w:val="20"/>
        </w:rPr>
        <w:t xml:space="preserve">interim </w:t>
      </w:r>
      <w:r w:rsidRPr="00701647">
        <w:rPr>
          <w:sz w:val="20"/>
          <w:szCs w:val="20"/>
        </w:rPr>
        <w:t xml:space="preserve">financial statements are presented in Canadian dollars, which is the </w:t>
      </w:r>
      <w:r w:rsidR="00AE5124" w:rsidRPr="00701647">
        <w:rPr>
          <w:sz w:val="20"/>
          <w:szCs w:val="20"/>
        </w:rPr>
        <w:t xml:space="preserve">Company’s </w:t>
      </w:r>
      <w:r w:rsidRPr="00701647">
        <w:rPr>
          <w:sz w:val="20"/>
          <w:szCs w:val="20"/>
        </w:rPr>
        <w:t>functional currency.</w:t>
      </w:r>
    </w:p>
    <w:p w14:paraId="296024C2" w14:textId="5CE5535B" w:rsidR="000522A1" w:rsidRPr="0007463E" w:rsidRDefault="000522A1" w:rsidP="00730AD9">
      <w:pPr>
        <w:jc w:val="both"/>
        <w:rPr>
          <w:sz w:val="20"/>
          <w:szCs w:val="20"/>
          <w:highlight w:val="yellow"/>
        </w:rPr>
      </w:pPr>
    </w:p>
    <w:p w14:paraId="64BBC264" w14:textId="63032987" w:rsidR="000522A1" w:rsidRPr="00701647" w:rsidRDefault="000522A1" w:rsidP="00AC344C">
      <w:pPr>
        <w:ind w:left="284"/>
        <w:jc w:val="both"/>
        <w:rPr>
          <w:b/>
          <w:bCs/>
          <w:sz w:val="20"/>
          <w:szCs w:val="20"/>
        </w:rPr>
      </w:pPr>
      <w:r w:rsidRPr="00701647">
        <w:rPr>
          <w:b/>
          <w:bCs/>
          <w:sz w:val="20"/>
          <w:szCs w:val="20"/>
        </w:rPr>
        <w:t>Basis of consolidation</w:t>
      </w:r>
    </w:p>
    <w:p w14:paraId="79B5F44A" w14:textId="77777777" w:rsidR="00CA7B57" w:rsidRPr="00701647" w:rsidRDefault="00CA7B57" w:rsidP="00AC344C">
      <w:pPr>
        <w:ind w:left="284"/>
        <w:jc w:val="both"/>
        <w:rPr>
          <w:sz w:val="20"/>
          <w:szCs w:val="20"/>
        </w:rPr>
      </w:pPr>
    </w:p>
    <w:p w14:paraId="16D6CC2F" w14:textId="77777777" w:rsidR="00443305" w:rsidRPr="00701647" w:rsidRDefault="00443305" w:rsidP="00443305">
      <w:pPr>
        <w:ind w:left="284"/>
        <w:jc w:val="both"/>
        <w:rPr>
          <w:sz w:val="20"/>
          <w:szCs w:val="20"/>
        </w:rPr>
      </w:pPr>
      <w:r w:rsidRPr="00701647">
        <w:rPr>
          <w:sz w:val="20"/>
          <w:szCs w:val="20"/>
        </w:rPr>
        <w:t>The Company’s consolidated financial statements include Marble and its wholly owned subsidiaries as follows:</w:t>
      </w:r>
    </w:p>
    <w:p w14:paraId="4963E497" w14:textId="77777777" w:rsidR="00443305" w:rsidRPr="00701647" w:rsidRDefault="00443305" w:rsidP="00443305">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1989"/>
      </w:tblGrid>
      <w:tr w:rsidR="00443305" w:rsidRPr="00701647" w14:paraId="00193243" w14:textId="77777777" w:rsidTr="00E60C9A">
        <w:tc>
          <w:tcPr>
            <w:tcW w:w="4819" w:type="dxa"/>
            <w:tcBorders>
              <w:top w:val="double" w:sz="4" w:space="0" w:color="auto"/>
              <w:bottom w:val="single" w:sz="4" w:space="0" w:color="auto"/>
            </w:tcBorders>
          </w:tcPr>
          <w:p w14:paraId="18455391" w14:textId="77777777" w:rsidR="00443305" w:rsidRPr="00701647" w:rsidRDefault="00443305" w:rsidP="00E60C9A">
            <w:pPr>
              <w:jc w:val="both"/>
              <w:rPr>
                <w:b/>
                <w:bCs/>
                <w:sz w:val="20"/>
                <w:szCs w:val="20"/>
              </w:rPr>
            </w:pPr>
            <w:r w:rsidRPr="00701647">
              <w:rPr>
                <w:b/>
                <w:bCs/>
                <w:sz w:val="20"/>
                <w:szCs w:val="20"/>
              </w:rPr>
              <w:t>Company</w:t>
            </w:r>
          </w:p>
        </w:tc>
        <w:tc>
          <w:tcPr>
            <w:tcW w:w="2268" w:type="dxa"/>
            <w:tcBorders>
              <w:top w:val="double" w:sz="4" w:space="0" w:color="auto"/>
              <w:bottom w:val="single" w:sz="4" w:space="0" w:color="auto"/>
            </w:tcBorders>
          </w:tcPr>
          <w:p w14:paraId="36A3ABEE" w14:textId="77777777" w:rsidR="00443305" w:rsidRPr="00701647" w:rsidRDefault="00443305" w:rsidP="00E60C9A">
            <w:pPr>
              <w:jc w:val="both"/>
              <w:rPr>
                <w:b/>
                <w:bCs/>
                <w:sz w:val="20"/>
                <w:szCs w:val="20"/>
              </w:rPr>
            </w:pPr>
            <w:r w:rsidRPr="00701647">
              <w:rPr>
                <w:b/>
                <w:bCs/>
                <w:sz w:val="20"/>
                <w:szCs w:val="20"/>
              </w:rPr>
              <w:t>Place of Incorporation</w:t>
            </w:r>
          </w:p>
        </w:tc>
        <w:tc>
          <w:tcPr>
            <w:tcW w:w="1989" w:type="dxa"/>
            <w:tcBorders>
              <w:top w:val="double" w:sz="4" w:space="0" w:color="auto"/>
              <w:bottom w:val="single" w:sz="4" w:space="0" w:color="auto"/>
            </w:tcBorders>
          </w:tcPr>
          <w:p w14:paraId="4007A386" w14:textId="77777777" w:rsidR="00443305" w:rsidRPr="00701647" w:rsidRDefault="00443305" w:rsidP="00E60C9A">
            <w:pPr>
              <w:ind w:left="38"/>
              <w:jc w:val="both"/>
              <w:rPr>
                <w:b/>
                <w:bCs/>
                <w:sz w:val="20"/>
                <w:szCs w:val="20"/>
              </w:rPr>
            </w:pPr>
            <w:r w:rsidRPr="00701647">
              <w:rPr>
                <w:b/>
                <w:bCs/>
                <w:sz w:val="20"/>
                <w:szCs w:val="20"/>
              </w:rPr>
              <w:t>Effective Interest</w:t>
            </w:r>
          </w:p>
        </w:tc>
      </w:tr>
      <w:tr w:rsidR="00443305" w:rsidRPr="00701647" w14:paraId="26EEA079" w14:textId="77777777" w:rsidTr="00E60C9A">
        <w:tc>
          <w:tcPr>
            <w:tcW w:w="4819" w:type="dxa"/>
            <w:tcBorders>
              <w:top w:val="single" w:sz="4" w:space="0" w:color="auto"/>
            </w:tcBorders>
          </w:tcPr>
          <w:p w14:paraId="61A9DB00" w14:textId="77777777" w:rsidR="00443305" w:rsidRPr="00701647" w:rsidRDefault="00443305" w:rsidP="00E60C9A">
            <w:pPr>
              <w:jc w:val="both"/>
              <w:rPr>
                <w:sz w:val="20"/>
                <w:szCs w:val="20"/>
              </w:rPr>
            </w:pPr>
            <w:r w:rsidRPr="00701647">
              <w:rPr>
                <w:sz w:val="20"/>
                <w:szCs w:val="20"/>
              </w:rPr>
              <w:t>TPFM The Phoenix Fund Management Ltd. (</w:t>
            </w:r>
            <w:r w:rsidRPr="00701647">
              <w:rPr>
                <w:b/>
                <w:bCs/>
                <w:sz w:val="20"/>
                <w:szCs w:val="20"/>
              </w:rPr>
              <w:t>“TPFM”</w:t>
            </w:r>
            <w:r w:rsidRPr="00701647">
              <w:rPr>
                <w:sz w:val="20"/>
                <w:szCs w:val="20"/>
              </w:rPr>
              <w:t>)</w:t>
            </w:r>
          </w:p>
        </w:tc>
        <w:tc>
          <w:tcPr>
            <w:tcW w:w="2268" w:type="dxa"/>
            <w:tcBorders>
              <w:top w:val="single" w:sz="4" w:space="0" w:color="auto"/>
            </w:tcBorders>
          </w:tcPr>
          <w:p w14:paraId="4C4384B7" w14:textId="77777777" w:rsidR="00443305" w:rsidRPr="00701647" w:rsidRDefault="00443305" w:rsidP="00E60C9A">
            <w:pPr>
              <w:jc w:val="both"/>
              <w:rPr>
                <w:sz w:val="20"/>
                <w:szCs w:val="20"/>
              </w:rPr>
            </w:pPr>
            <w:r w:rsidRPr="00701647">
              <w:rPr>
                <w:sz w:val="20"/>
                <w:szCs w:val="20"/>
              </w:rPr>
              <w:t>Canada</w:t>
            </w:r>
          </w:p>
        </w:tc>
        <w:tc>
          <w:tcPr>
            <w:tcW w:w="1989" w:type="dxa"/>
            <w:tcBorders>
              <w:top w:val="single" w:sz="4" w:space="0" w:color="auto"/>
            </w:tcBorders>
          </w:tcPr>
          <w:p w14:paraId="55472F4E" w14:textId="77777777" w:rsidR="00443305" w:rsidRPr="00701647" w:rsidRDefault="00443305" w:rsidP="00E60C9A">
            <w:pPr>
              <w:ind w:left="38"/>
              <w:jc w:val="both"/>
              <w:rPr>
                <w:sz w:val="20"/>
                <w:szCs w:val="20"/>
              </w:rPr>
            </w:pPr>
            <w:r w:rsidRPr="00701647">
              <w:rPr>
                <w:sz w:val="20"/>
                <w:szCs w:val="20"/>
              </w:rPr>
              <w:t>100%</w:t>
            </w:r>
          </w:p>
        </w:tc>
      </w:tr>
      <w:tr w:rsidR="00443305" w:rsidRPr="00701647" w14:paraId="0224BFAD" w14:textId="77777777" w:rsidTr="00E60C9A">
        <w:tc>
          <w:tcPr>
            <w:tcW w:w="4819" w:type="dxa"/>
          </w:tcPr>
          <w:p w14:paraId="2B8F1355" w14:textId="77777777" w:rsidR="00443305" w:rsidRPr="00701647" w:rsidRDefault="00443305" w:rsidP="00E60C9A">
            <w:pPr>
              <w:jc w:val="both"/>
              <w:rPr>
                <w:sz w:val="20"/>
                <w:szCs w:val="20"/>
              </w:rPr>
            </w:pPr>
            <w:r w:rsidRPr="00701647">
              <w:rPr>
                <w:sz w:val="20"/>
                <w:szCs w:val="20"/>
              </w:rPr>
              <w:t>TPF The Phoenix Fund Inc. (</w:t>
            </w:r>
            <w:r w:rsidRPr="00701647">
              <w:rPr>
                <w:b/>
                <w:bCs/>
                <w:sz w:val="20"/>
                <w:szCs w:val="20"/>
              </w:rPr>
              <w:t>“TPF”</w:t>
            </w:r>
            <w:r w:rsidRPr="00701647">
              <w:rPr>
                <w:sz w:val="20"/>
                <w:szCs w:val="20"/>
              </w:rPr>
              <w:t>)</w:t>
            </w:r>
          </w:p>
        </w:tc>
        <w:tc>
          <w:tcPr>
            <w:tcW w:w="2268" w:type="dxa"/>
          </w:tcPr>
          <w:p w14:paraId="2AE56166" w14:textId="77777777" w:rsidR="00443305" w:rsidRPr="00701647" w:rsidRDefault="00443305" w:rsidP="00E60C9A">
            <w:pPr>
              <w:jc w:val="both"/>
              <w:rPr>
                <w:sz w:val="20"/>
                <w:szCs w:val="20"/>
              </w:rPr>
            </w:pPr>
            <w:r w:rsidRPr="00701647">
              <w:rPr>
                <w:sz w:val="20"/>
                <w:szCs w:val="20"/>
              </w:rPr>
              <w:t>Canada</w:t>
            </w:r>
          </w:p>
        </w:tc>
        <w:tc>
          <w:tcPr>
            <w:tcW w:w="1989" w:type="dxa"/>
          </w:tcPr>
          <w:p w14:paraId="3CD63E67" w14:textId="77777777" w:rsidR="00443305" w:rsidRPr="00701647" w:rsidRDefault="00443305" w:rsidP="00E60C9A">
            <w:pPr>
              <w:ind w:left="38"/>
              <w:jc w:val="both"/>
              <w:rPr>
                <w:sz w:val="20"/>
                <w:szCs w:val="20"/>
              </w:rPr>
            </w:pPr>
            <w:r w:rsidRPr="00701647">
              <w:rPr>
                <w:sz w:val="20"/>
                <w:szCs w:val="20"/>
              </w:rPr>
              <w:t>100%</w:t>
            </w:r>
          </w:p>
        </w:tc>
      </w:tr>
      <w:tr w:rsidR="00443305" w:rsidRPr="00701647" w14:paraId="09C88D21" w14:textId="77777777" w:rsidTr="00701647">
        <w:tc>
          <w:tcPr>
            <w:tcW w:w="4819" w:type="dxa"/>
          </w:tcPr>
          <w:p w14:paraId="56DA038C" w14:textId="77777777" w:rsidR="00443305" w:rsidRPr="00701647" w:rsidRDefault="00443305" w:rsidP="00E60C9A">
            <w:pPr>
              <w:jc w:val="both"/>
              <w:rPr>
                <w:b/>
                <w:bCs/>
                <w:sz w:val="20"/>
                <w:szCs w:val="20"/>
              </w:rPr>
            </w:pPr>
            <w:r w:rsidRPr="00701647">
              <w:rPr>
                <w:sz w:val="20"/>
                <w:szCs w:val="20"/>
              </w:rPr>
              <w:t>Score-Up Inc. (</w:t>
            </w:r>
            <w:r w:rsidRPr="00701647">
              <w:rPr>
                <w:b/>
                <w:bCs/>
                <w:sz w:val="20"/>
                <w:szCs w:val="20"/>
              </w:rPr>
              <w:t>“Score-Up”</w:t>
            </w:r>
            <w:r w:rsidRPr="00701647">
              <w:rPr>
                <w:sz w:val="20"/>
                <w:szCs w:val="20"/>
              </w:rPr>
              <w:t>)</w:t>
            </w:r>
          </w:p>
        </w:tc>
        <w:tc>
          <w:tcPr>
            <w:tcW w:w="2268" w:type="dxa"/>
          </w:tcPr>
          <w:p w14:paraId="04C6F871" w14:textId="77777777" w:rsidR="00443305" w:rsidRPr="00701647" w:rsidRDefault="00443305" w:rsidP="00E60C9A">
            <w:pPr>
              <w:jc w:val="both"/>
              <w:rPr>
                <w:sz w:val="20"/>
                <w:szCs w:val="20"/>
              </w:rPr>
            </w:pPr>
            <w:r w:rsidRPr="00701647">
              <w:rPr>
                <w:sz w:val="20"/>
                <w:szCs w:val="20"/>
              </w:rPr>
              <w:t>Canada</w:t>
            </w:r>
          </w:p>
        </w:tc>
        <w:tc>
          <w:tcPr>
            <w:tcW w:w="1989" w:type="dxa"/>
          </w:tcPr>
          <w:p w14:paraId="6035C4B7" w14:textId="77777777" w:rsidR="00443305" w:rsidRPr="00701647" w:rsidRDefault="00443305" w:rsidP="00E60C9A">
            <w:pPr>
              <w:ind w:left="38"/>
              <w:jc w:val="both"/>
              <w:rPr>
                <w:sz w:val="20"/>
                <w:szCs w:val="20"/>
              </w:rPr>
            </w:pPr>
            <w:r w:rsidRPr="00701647">
              <w:rPr>
                <w:sz w:val="20"/>
                <w:szCs w:val="20"/>
              </w:rPr>
              <w:t>100%</w:t>
            </w:r>
          </w:p>
        </w:tc>
      </w:tr>
      <w:tr w:rsidR="00443305" w:rsidRPr="0007463E" w14:paraId="692A5343" w14:textId="77777777" w:rsidTr="008C65E0">
        <w:tc>
          <w:tcPr>
            <w:tcW w:w="4819" w:type="dxa"/>
          </w:tcPr>
          <w:p w14:paraId="6DDAECFF" w14:textId="77777777" w:rsidR="00443305" w:rsidRPr="00701647" w:rsidRDefault="00443305" w:rsidP="00E60C9A">
            <w:pPr>
              <w:jc w:val="both"/>
              <w:rPr>
                <w:sz w:val="20"/>
                <w:szCs w:val="20"/>
              </w:rPr>
            </w:pPr>
            <w:r w:rsidRPr="00701647">
              <w:rPr>
                <w:sz w:val="20"/>
                <w:szCs w:val="20"/>
              </w:rPr>
              <w:t>Credit Meds Corp. (</w:t>
            </w:r>
            <w:r w:rsidRPr="00701647">
              <w:rPr>
                <w:b/>
                <w:bCs/>
                <w:sz w:val="20"/>
                <w:szCs w:val="20"/>
              </w:rPr>
              <w:t>“Credit Meds”</w:t>
            </w:r>
            <w:r w:rsidRPr="00701647">
              <w:rPr>
                <w:sz w:val="20"/>
                <w:szCs w:val="20"/>
              </w:rPr>
              <w:t>)</w:t>
            </w:r>
          </w:p>
        </w:tc>
        <w:tc>
          <w:tcPr>
            <w:tcW w:w="2268" w:type="dxa"/>
          </w:tcPr>
          <w:p w14:paraId="02C2F3D1" w14:textId="77777777" w:rsidR="00443305" w:rsidRPr="00701647" w:rsidRDefault="00443305" w:rsidP="00E60C9A">
            <w:pPr>
              <w:jc w:val="both"/>
              <w:rPr>
                <w:sz w:val="20"/>
                <w:szCs w:val="20"/>
              </w:rPr>
            </w:pPr>
            <w:r w:rsidRPr="00701647">
              <w:rPr>
                <w:sz w:val="20"/>
                <w:szCs w:val="20"/>
              </w:rPr>
              <w:t>Canada</w:t>
            </w:r>
          </w:p>
        </w:tc>
        <w:tc>
          <w:tcPr>
            <w:tcW w:w="1989" w:type="dxa"/>
          </w:tcPr>
          <w:p w14:paraId="0C105219" w14:textId="77777777" w:rsidR="00443305" w:rsidRPr="00701647" w:rsidRDefault="00443305" w:rsidP="00E60C9A">
            <w:pPr>
              <w:ind w:left="38"/>
              <w:jc w:val="both"/>
              <w:rPr>
                <w:sz w:val="20"/>
                <w:szCs w:val="20"/>
              </w:rPr>
            </w:pPr>
            <w:r w:rsidRPr="00701647">
              <w:rPr>
                <w:sz w:val="20"/>
                <w:szCs w:val="20"/>
              </w:rPr>
              <w:t>100%</w:t>
            </w:r>
          </w:p>
        </w:tc>
      </w:tr>
      <w:tr w:rsidR="00701647" w:rsidRPr="0007463E" w14:paraId="71D2A983" w14:textId="77777777" w:rsidTr="008C65E0">
        <w:tc>
          <w:tcPr>
            <w:tcW w:w="4819" w:type="dxa"/>
          </w:tcPr>
          <w:p w14:paraId="6DDBF0A2" w14:textId="2E338199" w:rsidR="00701647" w:rsidRPr="00701647" w:rsidRDefault="00701647" w:rsidP="00BA2C24">
            <w:pPr>
              <w:jc w:val="both"/>
              <w:rPr>
                <w:sz w:val="20"/>
                <w:szCs w:val="20"/>
              </w:rPr>
            </w:pPr>
            <w:proofErr w:type="spellStart"/>
            <w:r w:rsidRPr="00701647">
              <w:rPr>
                <w:sz w:val="20"/>
                <w:szCs w:val="20"/>
              </w:rPr>
              <w:t>Inverite</w:t>
            </w:r>
            <w:proofErr w:type="spellEnd"/>
            <w:r w:rsidRPr="00701647">
              <w:rPr>
                <w:sz w:val="20"/>
                <w:szCs w:val="20"/>
              </w:rPr>
              <w:t xml:space="preserve"> Verification Inc. (</w:t>
            </w:r>
            <w:r w:rsidRPr="00701647">
              <w:rPr>
                <w:b/>
                <w:bCs/>
                <w:sz w:val="20"/>
                <w:szCs w:val="20"/>
              </w:rPr>
              <w:t>“</w:t>
            </w:r>
            <w:proofErr w:type="spellStart"/>
            <w:r w:rsidRPr="00701647">
              <w:rPr>
                <w:b/>
                <w:bCs/>
                <w:sz w:val="20"/>
                <w:szCs w:val="20"/>
              </w:rPr>
              <w:t>Inverite</w:t>
            </w:r>
            <w:proofErr w:type="spellEnd"/>
            <w:r w:rsidRPr="00701647">
              <w:rPr>
                <w:b/>
                <w:bCs/>
                <w:sz w:val="20"/>
                <w:szCs w:val="20"/>
              </w:rPr>
              <w:t>”</w:t>
            </w:r>
            <w:r w:rsidRPr="00701647">
              <w:rPr>
                <w:sz w:val="20"/>
                <w:szCs w:val="20"/>
              </w:rPr>
              <w:t>)</w:t>
            </w:r>
          </w:p>
        </w:tc>
        <w:tc>
          <w:tcPr>
            <w:tcW w:w="2268" w:type="dxa"/>
          </w:tcPr>
          <w:p w14:paraId="29AB56E9" w14:textId="77777777" w:rsidR="00701647" w:rsidRPr="00701647" w:rsidRDefault="00701647" w:rsidP="00BA2C24">
            <w:pPr>
              <w:jc w:val="both"/>
              <w:rPr>
                <w:sz w:val="20"/>
                <w:szCs w:val="20"/>
              </w:rPr>
            </w:pPr>
            <w:r w:rsidRPr="00701647">
              <w:rPr>
                <w:sz w:val="20"/>
                <w:szCs w:val="20"/>
              </w:rPr>
              <w:t>Canada</w:t>
            </w:r>
          </w:p>
        </w:tc>
        <w:tc>
          <w:tcPr>
            <w:tcW w:w="1989" w:type="dxa"/>
          </w:tcPr>
          <w:p w14:paraId="2D31FD64" w14:textId="77777777" w:rsidR="00701647" w:rsidRPr="00701647" w:rsidRDefault="00701647" w:rsidP="00BA2C24">
            <w:pPr>
              <w:ind w:left="38"/>
              <w:jc w:val="both"/>
              <w:rPr>
                <w:sz w:val="20"/>
                <w:szCs w:val="20"/>
              </w:rPr>
            </w:pPr>
            <w:r w:rsidRPr="00701647">
              <w:rPr>
                <w:sz w:val="20"/>
                <w:szCs w:val="20"/>
              </w:rPr>
              <w:t>100%</w:t>
            </w:r>
          </w:p>
        </w:tc>
      </w:tr>
      <w:tr w:rsidR="003A6FEA" w:rsidRPr="0007463E" w14:paraId="5589E048" w14:textId="77777777" w:rsidTr="008C65E0">
        <w:tc>
          <w:tcPr>
            <w:tcW w:w="4819" w:type="dxa"/>
            <w:tcBorders>
              <w:bottom w:val="double" w:sz="4" w:space="0" w:color="auto"/>
            </w:tcBorders>
          </w:tcPr>
          <w:p w14:paraId="39876D08" w14:textId="690262E0" w:rsidR="003A6FEA" w:rsidRPr="00701647" w:rsidRDefault="003A6FEA" w:rsidP="00BA2C24">
            <w:pPr>
              <w:jc w:val="both"/>
              <w:rPr>
                <w:sz w:val="20"/>
                <w:szCs w:val="20"/>
              </w:rPr>
            </w:pPr>
            <w:r>
              <w:rPr>
                <w:sz w:val="20"/>
                <w:szCs w:val="20"/>
              </w:rPr>
              <w:t>1301771 B.C. Ltd. (</w:t>
            </w:r>
            <w:r w:rsidRPr="008C65E0">
              <w:rPr>
                <w:b/>
                <w:bCs/>
                <w:sz w:val="20"/>
                <w:szCs w:val="20"/>
              </w:rPr>
              <w:t>“1301771”</w:t>
            </w:r>
            <w:r w:rsidRPr="008C65E0">
              <w:rPr>
                <w:sz w:val="20"/>
                <w:szCs w:val="20"/>
              </w:rPr>
              <w:t>)</w:t>
            </w:r>
          </w:p>
        </w:tc>
        <w:tc>
          <w:tcPr>
            <w:tcW w:w="2268" w:type="dxa"/>
            <w:tcBorders>
              <w:bottom w:val="double" w:sz="4" w:space="0" w:color="auto"/>
            </w:tcBorders>
          </w:tcPr>
          <w:p w14:paraId="1B6E92F1" w14:textId="24893F02" w:rsidR="003A6FEA" w:rsidRPr="00701647" w:rsidRDefault="003A6FEA" w:rsidP="00BA2C24">
            <w:pPr>
              <w:jc w:val="both"/>
              <w:rPr>
                <w:sz w:val="20"/>
                <w:szCs w:val="20"/>
              </w:rPr>
            </w:pPr>
            <w:r>
              <w:rPr>
                <w:sz w:val="20"/>
                <w:szCs w:val="20"/>
              </w:rPr>
              <w:t>Canada</w:t>
            </w:r>
          </w:p>
        </w:tc>
        <w:tc>
          <w:tcPr>
            <w:tcW w:w="1989" w:type="dxa"/>
            <w:tcBorders>
              <w:bottom w:val="double" w:sz="4" w:space="0" w:color="auto"/>
            </w:tcBorders>
          </w:tcPr>
          <w:p w14:paraId="7C07E284" w14:textId="526F3462" w:rsidR="003A6FEA" w:rsidRPr="00701647" w:rsidRDefault="003A6FEA" w:rsidP="00BA2C24">
            <w:pPr>
              <w:ind w:left="38"/>
              <w:jc w:val="both"/>
              <w:rPr>
                <w:sz w:val="20"/>
                <w:szCs w:val="20"/>
              </w:rPr>
            </w:pPr>
            <w:r>
              <w:rPr>
                <w:sz w:val="20"/>
                <w:szCs w:val="20"/>
              </w:rPr>
              <w:t>100%</w:t>
            </w:r>
          </w:p>
        </w:tc>
      </w:tr>
    </w:tbl>
    <w:p w14:paraId="52B3719D" w14:textId="77777777" w:rsidR="003A6FEA" w:rsidRDefault="003A6FEA" w:rsidP="00443305">
      <w:pPr>
        <w:ind w:left="284"/>
        <w:jc w:val="both"/>
        <w:rPr>
          <w:sz w:val="20"/>
          <w:szCs w:val="20"/>
        </w:rPr>
      </w:pPr>
    </w:p>
    <w:p w14:paraId="0E7D2CE7" w14:textId="77777777" w:rsidR="003A6FEA" w:rsidRPr="008C65E0" w:rsidRDefault="003A6FEA" w:rsidP="008C65E0">
      <w:pPr>
        <w:ind w:left="284"/>
        <w:jc w:val="both"/>
        <w:rPr>
          <w:sz w:val="20"/>
          <w:szCs w:val="20"/>
        </w:rPr>
      </w:pPr>
      <w:r w:rsidRPr="008C65E0">
        <w:rPr>
          <w:sz w:val="20"/>
          <w:szCs w:val="20"/>
        </w:rPr>
        <w:t xml:space="preserve">On April 23, 2021, 1301771 B.C. Ltd. was incorporated under the BCBCA as a special purpose vehicle whose business and undertaking </w:t>
      </w:r>
      <w:proofErr w:type="gramStart"/>
      <w:r w:rsidRPr="008C65E0">
        <w:rPr>
          <w:sz w:val="20"/>
          <w:szCs w:val="20"/>
        </w:rPr>
        <w:t>is</w:t>
      </w:r>
      <w:proofErr w:type="gramEnd"/>
      <w:r w:rsidRPr="008C65E0">
        <w:rPr>
          <w:sz w:val="20"/>
          <w:szCs w:val="20"/>
        </w:rPr>
        <w:t xml:space="preserve"> restricted to the origination, funding and financing of consumer loan assets, together with such other activities as may be reasonably required or advisable in connection therewith.  1301771 was created for the purposes of procuring financing for Fast-Track Loans originated by TPFM and thereafter receiving an assignment of the Fast-Track Loans and holding them as collateral for a security interest provided to the lenders. </w:t>
      </w:r>
    </w:p>
    <w:p w14:paraId="33A3577E" w14:textId="77777777" w:rsidR="003A6FEA" w:rsidRDefault="003A6FEA" w:rsidP="00443305">
      <w:pPr>
        <w:ind w:left="284"/>
        <w:jc w:val="both"/>
        <w:rPr>
          <w:sz w:val="20"/>
          <w:szCs w:val="20"/>
        </w:rPr>
      </w:pPr>
    </w:p>
    <w:p w14:paraId="07FBC755" w14:textId="0CF87B6A" w:rsidR="00443305" w:rsidRPr="00701647" w:rsidRDefault="00443305" w:rsidP="00443305">
      <w:pPr>
        <w:ind w:left="284"/>
        <w:jc w:val="both"/>
        <w:rPr>
          <w:sz w:val="20"/>
          <w:szCs w:val="20"/>
        </w:rPr>
      </w:pPr>
      <w:r w:rsidRPr="00701647">
        <w:rPr>
          <w:sz w:val="20"/>
          <w:szCs w:val="20"/>
        </w:rPr>
        <w:t xml:space="preserve">Control is achieved where the Company has power over an entity, has exposure or rights to variable returns from its involvement with the entity and </w:t>
      </w:r>
      <w:proofErr w:type="gramStart"/>
      <w:r w:rsidRPr="00701647">
        <w:rPr>
          <w:sz w:val="20"/>
          <w:szCs w:val="20"/>
        </w:rPr>
        <w:t>has the ability to</w:t>
      </w:r>
      <w:proofErr w:type="gramEnd"/>
      <w:r w:rsidRPr="00701647">
        <w:rPr>
          <w:sz w:val="20"/>
          <w:szCs w:val="20"/>
        </w:rPr>
        <w:t xml:space="preserve"> use its power over the entity to affect the amount of the investor’s returns.  Subsidiaries are included in the consolidated financial statements from the date control commences until the date control ceases. All inter-company balances, transactions, </w:t>
      </w:r>
      <w:proofErr w:type="gramStart"/>
      <w:r w:rsidRPr="00701647">
        <w:rPr>
          <w:sz w:val="20"/>
          <w:szCs w:val="20"/>
        </w:rPr>
        <w:t>revenues</w:t>
      </w:r>
      <w:proofErr w:type="gramEnd"/>
      <w:r w:rsidRPr="00701647">
        <w:rPr>
          <w:sz w:val="20"/>
          <w:szCs w:val="20"/>
        </w:rPr>
        <w:t xml:space="preserve"> and expenses have been eliminated on consolidation.</w:t>
      </w:r>
    </w:p>
    <w:p w14:paraId="74DD9162" w14:textId="77777777" w:rsidR="000522A1" w:rsidRPr="0007463E" w:rsidRDefault="000522A1" w:rsidP="00730AD9">
      <w:pPr>
        <w:ind w:left="284"/>
        <w:jc w:val="both"/>
        <w:rPr>
          <w:sz w:val="20"/>
          <w:szCs w:val="20"/>
          <w:highlight w:val="yellow"/>
        </w:rPr>
      </w:pPr>
    </w:p>
    <w:p w14:paraId="4E15A43D" w14:textId="77777777" w:rsidR="00233CCD" w:rsidRPr="00701647" w:rsidRDefault="00BB344D" w:rsidP="00AD1E9F">
      <w:pPr>
        <w:pStyle w:val="ListParagraph"/>
        <w:numPr>
          <w:ilvl w:val="0"/>
          <w:numId w:val="1"/>
        </w:numPr>
        <w:ind w:left="284"/>
        <w:rPr>
          <w:b/>
          <w:bCs/>
          <w:sz w:val="20"/>
          <w:szCs w:val="20"/>
        </w:rPr>
      </w:pPr>
      <w:r w:rsidRPr="00701647">
        <w:rPr>
          <w:b/>
          <w:bCs/>
          <w:sz w:val="20"/>
          <w:szCs w:val="20"/>
        </w:rPr>
        <w:t>USE OF ESTIMATES AND JUDGMENTS</w:t>
      </w:r>
    </w:p>
    <w:p w14:paraId="2F4A918D" w14:textId="77777777" w:rsidR="00BB344D" w:rsidRPr="00701647" w:rsidRDefault="00BB344D" w:rsidP="00730AD9">
      <w:pPr>
        <w:ind w:left="284"/>
        <w:jc w:val="both"/>
        <w:rPr>
          <w:sz w:val="20"/>
          <w:szCs w:val="20"/>
        </w:rPr>
      </w:pPr>
    </w:p>
    <w:p w14:paraId="59262A78" w14:textId="19238654" w:rsidR="00173132" w:rsidRPr="00701647" w:rsidRDefault="00173132" w:rsidP="00173132">
      <w:pPr>
        <w:ind w:left="284"/>
        <w:jc w:val="both"/>
        <w:rPr>
          <w:sz w:val="20"/>
          <w:szCs w:val="20"/>
        </w:rPr>
      </w:pPr>
      <w:r w:rsidRPr="00701647">
        <w:rPr>
          <w:sz w:val="20"/>
          <w:szCs w:val="20"/>
        </w:rPr>
        <w:t>The preparation of these condensed consolidated financial statements requires management to make estimates and judgments and to form assumptions that affect the reported amounts and other disclosures in these consolidated financial statements.  The estimates and associated assumptions are based on historical experience and various other factors that are believed to be reasonable under the circumstances.  The results of these assumptions form the basis of making the judgments about carrying values of assets and liabilities that are not readily apparent from other sources.  Actual results may differ from these estimates under different assumptions and conditions.</w:t>
      </w:r>
    </w:p>
    <w:p w14:paraId="28382393" w14:textId="77777777" w:rsidR="00173132" w:rsidRPr="00701647" w:rsidRDefault="00173132" w:rsidP="00173132">
      <w:pPr>
        <w:ind w:left="284"/>
        <w:jc w:val="both"/>
        <w:rPr>
          <w:sz w:val="20"/>
          <w:szCs w:val="20"/>
        </w:rPr>
      </w:pPr>
    </w:p>
    <w:p w14:paraId="0CB97A0C" w14:textId="77777777" w:rsidR="00173132" w:rsidRPr="00701647" w:rsidRDefault="00173132" w:rsidP="00802853">
      <w:pPr>
        <w:ind w:left="284"/>
        <w:jc w:val="both"/>
      </w:pPr>
      <w:r w:rsidRPr="00701647">
        <w:rPr>
          <w:sz w:val="20"/>
          <w:szCs w:val="20"/>
        </w:rPr>
        <w:t>The estimates and underlying assumptions are reviewed on an ongoing basis.  Changes to accounting estimates are recognized in the period in which the estimate is revised and all future periods which are affected by the change in estimate. The principal areas where critical estimates and judgments have been applied are described below:</w:t>
      </w:r>
    </w:p>
    <w:p w14:paraId="2377C277" w14:textId="77777777" w:rsidR="00173132" w:rsidRPr="0007463E" w:rsidRDefault="00173132" w:rsidP="00173132">
      <w:pPr>
        <w:rPr>
          <w:sz w:val="20"/>
          <w:szCs w:val="20"/>
          <w:highlight w:val="yellow"/>
        </w:rPr>
      </w:pPr>
      <w:r w:rsidRPr="0007463E">
        <w:rPr>
          <w:sz w:val="20"/>
          <w:szCs w:val="20"/>
          <w:highlight w:val="yellow"/>
        </w:rPr>
        <w:br w:type="page"/>
      </w:r>
    </w:p>
    <w:p w14:paraId="663D9139" w14:textId="109611A9" w:rsidR="009F6643" w:rsidRPr="0007463E" w:rsidRDefault="009F6643" w:rsidP="00A1490E">
      <w:pPr>
        <w:pStyle w:val="ListParagraph"/>
        <w:ind w:left="284"/>
        <w:jc w:val="both"/>
        <w:rPr>
          <w:highlight w:val="yellow"/>
        </w:rPr>
      </w:pPr>
    </w:p>
    <w:p w14:paraId="3E75B5A7" w14:textId="77777777" w:rsidR="00173132" w:rsidRPr="00701647" w:rsidRDefault="00173132" w:rsidP="005C6969">
      <w:pPr>
        <w:pStyle w:val="ListParagraph"/>
        <w:numPr>
          <w:ilvl w:val="0"/>
          <w:numId w:val="8"/>
        </w:numPr>
        <w:ind w:left="284"/>
        <w:rPr>
          <w:b/>
          <w:bCs/>
          <w:sz w:val="20"/>
          <w:szCs w:val="20"/>
        </w:rPr>
      </w:pPr>
      <w:r w:rsidRPr="00701647">
        <w:rPr>
          <w:b/>
          <w:bCs/>
          <w:sz w:val="20"/>
          <w:szCs w:val="20"/>
        </w:rPr>
        <w:t>USE OF ESTIMATES AND JUDGMENTS</w:t>
      </w:r>
      <w:r w:rsidRPr="00701647">
        <w:rPr>
          <w:sz w:val="20"/>
          <w:szCs w:val="20"/>
        </w:rPr>
        <w:t xml:space="preserve"> </w:t>
      </w:r>
      <w:r w:rsidRPr="00701647">
        <w:rPr>
          <w:i/>
          <w:iCs/>
          <w:sz w:val="20"/>
          <w:szCs w:val="20"/>
        </w:rPr>
        <w:t>(cont’d…)</w:t>
      </w:r>
    </w:p>
    <w:p w14:paraId="68302A34" w14:textId="77777777" w:rsidR="00173132" w:rsidRPr="00701647" w:rsidRDefault="00173132" w:rsidP="00A1490E">
      <w:pPr>
        <w:pStyle w:val="ListParagraph"/>
        <w:ind w:left="284"/>
        <w:jc w:val="both"/>
      </w:pPr>
    </w:p>
    <w:p w14:paraId="499A9DDB" w14:textId="77777777" w:rsidR="00173132" w:rsidRPr="00701647" w:rsidRDefault="00173132" w:rsidP="00173132">
      <w:pPr>
        <w:ind w:left="284"/>
        <w:jc w:val="both"/>
        <w:rPr>
          <w:b/>
          <w:bCs/>
          <w:sz w:val="20"/>
          <w:szCs w:val="20"/>
        </w:rPr>
      </w:pPr>
      <w:r w:rsidRPr="00701647">
        <w:rPr>
          <w:b/>
          <w:bCs/>
          <w:sz w:val="20"/>
          <w:szCs w:val="20"/>
        </w:rPr>
        <w:t>Impairment of intangible assets</w:t>
      </w:r>
    </w:p>
    <w:p w14:paraId="4BA6B6A5" w14:textId="77777777" w:rsidR="00173132" w:rsidRPr="00701647" w:rsidRDefault="00173132" w:rsidP="00173132">
      <w:pPr>
        <w:ind w:left="284"/>
        <w:jc w:val="both"/>
        <w:rPr>
          <w:sz w:val="20"/>
          <w:szCs w:val="20"/>
        </w:rPr>
      </w:pPr>
    </w:p>
    <w:p w14:paraId="55B9BAD9" w14:textId="77777777" w:rsidR="00173132" w:rsidRPr="00701647" w:rsidRDefault="00173132" w:rsidP="00173132">
      <w:pPr>
        <w:ind w:left="284"/>
        <w:jc w:val="both"/>
        <w:rPr>
          <w:sz w:val="20"/>
          <w:szCs w:val="20"/>
        </w:rPr>
      </w:pPr>
      <w:r w:rsidRPr="00701647">
        <w:rPr>
          <w:sz w:val="20"/>
          <w:szCs w:val="20"/>
        </w:rPr>
        <w:t xml:space="preserve">Intangible assets which are available for use and have a definite useful life are assessed for indicators of impairment at the end of each reporting period.  If indicators of impairment exist, the Company will test those intangible assets for impairment.  The Company tests intangible assets with an indefinite useful life and intangible assets which are not yet ready for use on an annual basis. Significant judgment is required in determining the useful lives and recoverable amounts of intangible </w:t>
      </w:r>
      <w:proofErr w:type="gramStart"/>
      <w:r w:rsidRPr="00701647">
        <w:rPr>
          <w:sz w:val="20"/>
          <w:szCs w:val="20"/>
        </w:rPr>
        <w:t>assets, and</w:t>
      </w:r>
      <w:proofErr w:type="gramEnd"/>
      <w:r w:rsidRPr="00701647">
        <w:rPr>
          <w:sz w:val="20"/>
          <w:szCs w:val="20"/>
        </w:rPr>
        <w:t xml:space="preserve"> assessing whether certain events or circumstances constitute objective evidence of impairment.  Estimates of the recoverable amounts of the intangible assets rely on certain inputs, including future cash flows and discount rates.  Future cash flows are based on revenue projections and allocated costs which are estimated based on forecast results and business initiatives.  Discount rates are based on market interest rates. </w:t>
      </w:r>
    </w:p>
    <w:p w14:paraId="5141E7AE" w14:textId="77777777" w:rsidR="00173132" w:rsidRPr="00701647" w:rsidRDefault="00173132" w:rsidP="00173132">
      <w:pPr>
        <w:rPr>
          <w:sz w:val="20"/>
          <w:szCs w:val="20"/>
        </w:rPr>
      </w:pPr>
    </w:p>
    <w:p w14:paraId="6861D7AC" w14:textId="77777777" w:rsidR="00173132" w:rsidRPr="00701647" w:rsidRDefault="00173132" w:rsidP="00173132">
      <w:pPr>
        <w:ind w:left="284"/>
        <w:jc w:val="both"/>
        <w:rPr>
          <w:b/>
          <w:bCs/>
          <w:sz w:val="20"/>
          <w:szCs w:val="20"/>
        </w:rPr>
      </w:pPr>
      <w:r w:rsidRPr="00701647">
        <w:rPr>
          <w:b/>
          <w:bCs/>
          <w:sz w:val="20"/>
          <w:szCs w:val="20"/>
        </w:rPr>
        <w:t>Income taxes</w:t>
      </w:r>
    </w:p>
    <w:p w14:paraId="0C9BDD0B" w14:textId="77777777" w:rsidR="00173132" w:rsidRPr="00701647" w:rsidRDefault="00173132" w:rsidP="00173132">
      <w:pPr>
        <w:ind w:left="284"/>
        <w:jc w:val="both"/>
        <w:rPr>
          <w:sz w:val="20"/>
          <w:szCs w:val="20"/>
        </w:rPr>
      </w:pPr>
    </w:p>
    <w:p w14:paraId="527BB6A0" w14:textId="3B98712B" w:rsidR="00173132" w:rsidRPr="00701647" w:rsidRDefault="00173132" w:rsidP="00173132">
      <w:pPr>
        <w:ind w:left="284"/>
        <w:jc w:val="both"/>
        <w:rPr>
          <w:sz w:val="20"/>
          <w:szCs w:val="20"/>
        </w:rPr>
      </w:pPr>
      <w:r w:rsidRPr="00701647">
        <w:rPr>
          <w:sz w:val="20"/>
          <w:szCs w:val="20"/>
        </w:rPr>
        <w:t xml:space="preserve">Income tax expenses recorded in these condensed consolidated </w:t>
      </w:r>
      <w:r w:rsidR="00474197" w:rsidRPr="00701647">
        <w:rPr>
          <w:sz w:val="20"/>
          <w:szCs w:val="20"/>
        </w:rPr>
        <w:t xml:space="preserve">interim </w:t>
      </w:r>
      <w:r w:rsidRPr="00701647">
        <w:rPr>
          <w:sz w:val="20"/>
          <w:szCs w:val="20"/>
        </w:rPr>
        <w:t>financial statements are not final until tax returns are filed and accepted by taxation authorities.  Therefore, results of operations in future reporting periods may be affected by the difference between the income tax expense estimates and the final tax assessments. Estimation of income taxes includes evaluating the recoverability of deferred tax assets based on an assessment of the ability to use the underlying future tax deductions against future taxable income.  The assessment is based on enacted tax acts and estimates of future taxable income.</w:t>
      </w:r>
    </w:p>
    <w:p w14:paraId="6F1A0AD6" w14:textId="77777777" w:rsidR="00173132" w:rsidRPr="00701647" w:rsidRDefault="00173132" w:rsidP="00173132">
      <w:pPr>
        <w:ind w:left="284"/>
        <w:jc w:val="both"/>
        <w:rPr>
          <w:sz w:val="20"/>
          <w:szCs w:val="20"/>
        </w:rPr>
      </w:pPr>
    </w:p>
    <w:p w14:paraId="551EB777" w14:textId="77777777" w:rsidR="00173132" w:rsidRPr="00701647" w:rsidRDefault="00173132" w:rsidP="00173132">
      <w:pPr>
        <w:ind w:left="284"/>
        <w:jc w:val="both"/>
        <w:rPr>
          <w:b/>
          <w:bCs/>
          <w:sz w:val="20"/>
          <w:szCs w:val="20"/>
        </w:rPr>
      </w:pPr>
      <w:r w:rsidRPr="00701647">
        <w:rPr>
          <w:b/>
          <w:bCs/>
          <w:sz w:val="20"/>
          <w:szCs w:val="20"/>
        </w:rPr>
        <w:t>Business combinations</w:t>
      </w:r>
    </w:p>
    <w:p w14:paraId="167136A9" w14:textId="77777777" w:rsidR="00173132" w:rsidRPr="00701647" w:rsidRDefault="00173132" w:rsidP="00173132">
      <w:pPr>
        <w:ind w:left="284"/>
        <w:jc w:val="both"/>
        <w:rPr>
          <w:sz w:val="20"/>
          <w:szCs w:val="20"/>
        </w:rPr>
      </w:pPr>
    </w:p>
    <w:p w14:paraId="104AB07D" w14:textId="720897EC" w:rsidR="00173132" w:rsidRDefault="00173132" w:rsidP="00173132">
      <w:pPr>
        <w:ind w:left="284"/>
        <w:jc w:val="both"/>
        <w:rPr>
          <w:sz w:val="20"/>
          <w:szCs w:val="20"/>
        </w:rPr>
      </w:pPr>
      <w:r w:rsidRPr="00701647">
        <w:rPr>
          <w:sz w:val="20"/>
          <w:szCs w:val="20"/>
        </w:rPr>
        <w:t xml:space="preserve">Management determines whether assets acquired, and liabilities assumed constitute a business. A business consists of inputs and processes applied to those inputs that </w:t>
      </w:r>
      <w:proofErr w:type="gramStart"/>
      <w:r w:rsidRPr="00701647">
        <w:rPr>
          <w:sz w:val="20"/>
          <w:szCs w:val="20"/>
        </w:rPr>
        <w:t>have the ability to</w:t>
      </w:r>
      <w:proofErr w:type="gramEnd"/>
      <w:r w:rsidRPr="00701647">
        <w:rPr>
          <w:sz w:val="20"/>
          <w:szCs w:val="20"/>
        </w:rPr>
        <w:t xml:space="preserve"> create outputs. During the year ended December 31, 2019, Marble completed the acquisition of the shares of each of Score-Up and Credit Meds (Note </w:t>
      </w:r>
      <w:r w:rsidR="00474197" w:rsidRPr="00701647">
        <w:rPr>
          <w:sz w:val="20"/>
          <w:szCs w:val="20"/>
        </w:rPr>
        <w:t>5</w:t>
      </w:r>
      <w:r w:rsidRPr="00701647">
        <w:rPr>
          <w:sz w:val="20"/>
          <w:szCs w:val="20"/>
        </w:rPr>
        <w:t>) and concluded that each of these transactions did not qualify as business combinations under IFRS 3, “Business Combinations.”</w:t>
      </w:r>
    </w:p>
    <w:p w14:paraId="4EB93557" w14:textId="32402725" w:rsidR="00C16A0C" w:rsidRDefault="00C16A0C" w:rsidP="00173132">
      <w:pPr>
        <w:ind w:left="284"/>
        <w:jc w:val="both"/>
        <w:rPr>
          <w:sz w:val="20"/>
          <w:szCs w:val="20"/>
        </w:rPr>
      </w:pPr>
    </w:p>
    <w:p w14:paraId="00DFDFE5" w14:textId="77777777" w:rsidR="00C16A0C" w:rsidRPr="00760411" w:rsidRDefault="00C16A0C" w:rsidP="00C16A0C">
      <w:pPr>
        <w:ind w:left="284"/>
        <w:jc w:val="both"/>
        <w:rPr>
          <w:b/>
          <w:bCs/>
          <w:sz w:val="20"/>
          <w:szCs w:val="20"/>
        </w:rPr>
      </w:pPr>
      <w:bookmarkStart w:id="3" w:name="_Hlk80737766"/>
      <w:r w:rsidRPr="00760411">
        <w:rPr>
          <w:b/>
          <w:bCs/>
          <w:sz w:val="20"/>
          <w:szCs w:val="20"/>
        </w:rPr>
        <w:t>Purchase price allocation</w:t>
      </w:r>
    </w:p>
    <w:p w14:paraId="6A901482" w14:textId="77777777" w:rsidR="00C16A0C" w:rsidRDefault="00C16A0C" w:rsidP="00C16A0C">
      <w:pPr>
        <w:ind w:left="284"/>
        <w:jc w:val="both"/>
        <w:rPr>
          <w:sz w:val="20"/>
          <w:szCs w:val="20"/>
        </w:rPr>
      </w:pPr>
    </w:p>
    <w:p w14:paraId="622A766E" w14:textId="5F4B9ACF" w:rsidR="00C16A0C" w:rsidRPr="00701647" w:rsidRDefault="00C16A0C" w:rsidP="00C16A0C">
      <w:pPr>
        <w:ind w:left="284"/>
        <w:jc w:val="both"/>
        <w:rPr>
          <w:sz w:val="20"/>
          <w:szCs w:val="20"/>
        </w:rPr>
      </w:pPr>
      <w:r w:rsidRPr="00C16A0C">
        <w:rPr>
          <w:sz w:val="20"/>
          <w:szCs w:val="20"/>
        </w:rPr>
        <w:t xml:space="preserve">The acquisition of </w:t>
      </w:r>
      <w:proofErr w:type="spellStart"/>
      <w:r>
        <w:rPr>
          <w:sz w:val="20"/>
          <w:szCs w:val="20"/>
        </w:rPr>
        <w:t>Inverite</w:t>
      </w:r>
      <w:proofErr w:type="spellEnd"/>
      <w:r w:rsidRPr="00C16A0C">
        <w:rPr>
          <w:sz w:val="20"/>
          <w:szCs w:val="20"/>
        </w:rPr>
        <w:t xml:space="preserve"> on April 12, </w:t>
      </w:r>
      <w:proofErr w:type="gramStart"/>
      <w:r w:rsidRPr="00C16A0C">
        <w:rPr>
          <w:sz w:val="20"/>
          <w:szCs w:val="20"/>
        </w:rPr>
        <w:t>2021</w:t>
      </w:r>
      <w:proofErr w:type="gramEnd"/>
      <w:r w:rsidRPr="00C16A0C">
        <w:rPr>
          <w:sz w:val="20"/>
          <w:szCs w:val="20"/>
        </w:rPr>
        <w:t xml:space="preserve"> was accounted for as a business combination at fair value in accordance with IFRS 3, </w:t>
      </w:r>
      <w:r>
        <w:rPr>
          <w:sz w:val="20"/>
          <w:szCs w:val="20"/>
        </w:rPr>
        <w:t>“</w:t>
      </w:r>
      <w:r w:rsidRPr="00C16A0C">
        <w:rPr>
          <w:sz w:val="20"/>
          <w:szCs w:val="20"/>
        </w:rPr>
        <w:t>Business Combinations</w:t>
      </w:r>
      <w:r>
        <w:rPr>
          <w:sz w:val="20"/>
          <w:szCs w:val="20"/>
        </w:rPr>
        <w:t>”</w:t>
      </w:r>
      <w:r w:rsidRPr="00C16A0C">
        <w:rPr>
          <w:sz w:val="20"/>
          <w:szCs w:val="20"/>
        </w:rPr>
        <w:t xml:space="preserve">. The acquired assets and assumed liabilities were adjusted to their fair values assigned through completion of a purchase price allocation, as described </w:t>
      </w:r>
      <w:r>
        <w:rPr>
          <w:sz w:val="20"/>
          <w:szCs w:val="20"/>
        </w:rPr>
        <w:t>in Note 6</w:t>
      </w:r>
      <w:r w:rsidRPr="00C16A0C">
        <w:rPr>
          <w:sz w:val="20"/>
          <w:szCs w:val="20"/>
        </w:rPr>
        <w:t xml:space="preserve">. The purchase price allocation process resulting from a business combination requires management to estimate the fair value of identifiable assets acquired including intangible assets and liabilities assumed. The Company relies on work performed by third-party valuation specialists. These valuations are closely linked to the assumptions used by management on the future performance of the related assets and the discount rates applied. As </w:t>
      </w:r>
      <w:proofErr w:type="gramStart"/>
      <w:r w:rsidRPr="00C16A0C">
        <w:rPr>
          <w:sz w:val="20"/>
          <w:szCs w:val="20"/>
        </w:rPr>
        <w:t>at</w:t>
      </w:r>
      <w:proofErr w:type="gramEnd"/>
      <w:r w:rsidRPr="00C16A0C">
        <w:rPr>
          <w:sz w:val="20"/>
          <w:szCs w:val="20"/>
        </w:rPr>
        <w:t xml:space="preserve"> </w:t>
      </w:r>
      <w:r>
        <w:rPr>
          <w:sz w:val="20"/>
          <w:szCs w:val="20"/>
        </w:rPr>
        <w:t>June</w:t>
      </w:r>
      <w:r w:rsidRPr="00C16A0C">
        <w:rPr>
          <w:sz w:val="20"/>
          <w:szCs w:val="20"/>
        </w:rPr>
        <w:t xml:space="preserve"> 30, 2021 the valuation related to the </w:t>
      </w:r>
      <w:proofErr w:type="spellStart"/>
      <w:r>
        <w:rPr>
          <w:sz w:val="20"/>
          <w:szCs w:val="20"/>
        </w:rPr>
        <w:t>Inverite</w:t>
      </w:r>
      <w:proofErr w:type="spellEnd"/>
      <w:r w:rsidRPr="00C16A0C">
        <w:rPr>
          <w:sz w:val="20"/>
          <w:szCs w:val="20"/>
        </w:rPr>
        <w:t xml:space="preserve"> acquisition has not yet been finalized.</w:t>
      </w:r>
    </w:p>
    <w:bookmarkEnd w:id="3"/>
    <w:p w14:paraId="0479BB69" w14:textId="77777777" w:rsidR="00457DC3" w:rsidRPr="0007463E" w:rsidRDefault="00457DC3" w:rsidP="00401113">
      <w:pPr>
        <w:jc w:val="both"/>
        <w:rPr>
          <w:sz w:val="20"/>
          <w:szCs w:val="20"/>
          <w:highlight w:val="yellow"/>
        </w:rPr>
      </w:pPr>
    </w:p>
    <w:p w14:paraId="6A9917B1" w14:textId="77777777" w:rsidR="004A4F7A" w:rsidRPr="00701647" w:rsidRDefault="004A4F7A" w:rsidP="005C6969">
      <w:pPr>
        <w:pStyle w:val="ListParagraph"/>
        <w:numPr>
          <w:ilvl w:val="0"/>
          <w:numId w:val="8"/>
        </w:numPr>
        <w:ind w:left="284"/>
        <w:rPr>
          <w:b/>
          <w:bCs/>
          <w:sz w:val="20"/>
          <w:szCs w:val="20"/>
        </w:rPr>
      </w:pPr>
      <w:r w:rsidRPr="00701647">
        <w:rPr>
          <w:b/>
          <w:bCs/>
          <w:sz w:val="20"/>
          <w:szCs w:val="20"/>
        </w:rPr>
        <w:t>ACQUISITION OF TPFM AND TPF</w:t>
      </w:r>
    </w:p>
    <w:p w14:paraId="0E2EDA3D" w14:textId="77777777" w:rsidR="004A4F7A" w:rsidRPr="00701647" w:rsidRDefault="004A4F7A" w:rsidP="004A4F7A">
      <w:pPr>
        <w:jc w:val="both"/>
        <w:rPr>
          <w:b/>
          <w:bCs/>
          <w:sz w:val="20"/>
          <w:szCs w:val="20"/>
        </w:rPr>
      </w:pPr>
    </w:p>
    <w:p w14:paraId="2567F55E" w14:textId="77777777" w:rsidR="00696E50" w:rsidRPr="00701647" w:rsidRDefault="00696E50" w:rsidP="00696E50">
      <w:pPr>
        <w:ind w:left="284"/>
        <w:jc w:val="both"/>
        <w:rPr>
          <w:sz w:val="20"/>
          <w:szCs w:val="20"/>
        </w:rPr>
      </w:pPr>
      <w:r w:rsidRPr="00701647">
        <w:rPr>
          <w:sz w:val="20"/>
          <w:szCs w:val="20"/>
        </w:rPr>
        <w:t xml:space="preserve">On July 1, 2016, Marble acquired 100% of the outstanding voting common shares of TPFM, 100% of the outstanding non-voting common shares of TPF and 40% of the outstanding voting preferred shares of TPF and recognized the transactions as business combinations. As consideration, Marble issued 10,000,000 common shares and paid $700,000. On March 21, 2019, </w:t>
      </w:r>
      <w:bookmarkStart w:id="4" w:name="_Hlk17104070"/>
      <w:r w:rsidRPr="00701647">
        <w:rPr>
          <w:sz w:val="20"/>
          <w:szCs w:val="20"/>
        </w:rPr>
        <w:t>Marble acquired the remaining 60% of the outstanding voting preferred shares of TPF for a nominal amount which was included in comprehensive loss</w:t>
      </w:r>
      <w:bookmarkEnd w:id="4"/>
      <w:r w:rsidRPr="00701647">
        <w:rPr>
          <w:sz w:val="20"/>
          <w:szCs w:val="20"/>
        </w:rPr>
        <w:t>.</w:t>
      </w:r>
    </w:p>
    <w:p w14:paraId="10B0B8C5" w14:textId="727ED8FA" w:rsidR="004A4F7A" w:rsidRDefault="004A4F7A" w:rsidP="00A1490E">
      <w:pPr>
        <w:ind w:left="284"/>
        <w:jc w:val="both"/>
        <w:rPr>
          <w:sz w:val="20"/>
          <w:szCs w:val="20"/>
          <w:highlight w:val="yellow"/>
        </w:rPr>
      </w:pPr>
    </w:p>
    <w:p w14:paraId="0756F09A" w14:textId="2D58E823" w:rsidR="00C16A0C" w:rsidRDefault="00C16A0C" w:rsidP="00A1490E">
      <w:pPr>
        <w:ind w:left="284"/>
        <w:jc w:val="both"/>
        <w:rPr>
          <w:sz w:val="20"/>
          <w:szCs w:val="20"/>
          <w:highlight w:val="yellow"/>
        </w:rPr>
      </w:pPr>
    </w:p>
    <w:p w14:paraId="46CE564A" w14:textId="74D12AF9" w:rsidR="00C16A0C" w:rsidRDefault="00C16A0C" w:rsidP="00A1490E">
      <w:pPr>
        <w:ind w:left="284"/>
        <w:jc w:val="both"/>
        <w:rPr>
          <w:sz w:val="20"/>
          <w:szCs w:val="20"/>
          <w:highlight w:val="yellow"/>
        </w:rPr>
      </w:pPr>
    </w:p>
    <w:p w14:paraId="176A8759" w14:textId="6CD72298" w:rsidR="00C16A0C" w:rsidRDefault="00C16A0C" w:rsidP="00A1490E">
      <w:pPr>
        <w:ind w:left="284"/>
        <w:jc w:val="both"/>
        <w:rPr>
          <w:sz w:val="20"/>
          <w:szCs w:val="20"/>
          <w:highlight w:val="yellow"/>
        </w:rPr>
      </w:pPr>
    </w:p>
    <w:p w14:paraId="14570314" w14:textId="77777777" w:rsidR="00C16A0C" w:rsidRPr="0007463E" w:rsidRDefault="00C16A0C" w:rsidP="00A1490E">
      <w:pPr>
        <w:ind w:left="284"/>
        <w:jc w:val="both"/>
        <w:rPr>
          <w:sz w:val="20"/>
          <w:szCs w:val="20"/>
          <w:highlight w:val="yellow"/>
        </w:rPr>
      </w:pPr>
    </w:p>
    <w:p w14:paraId="7201C0D4" w14:textId="68A8AF53" w:rsidR="00702A9B" w:rsidRPr="00701647" w:rsidRDefault="00702A9B" w:rsidP="005C6969">
      <w:pPr>
        <w:pStyle w:val="ListParagraph"/>
        <w:numPr>
          <w:ilvl w:val="0"/>
          <w:numId w:val="8"/>
        </w:numPr>
        <w:ind w:left="284"/>
        <w:rPr>
          <w:b/>
          <w:bCs/>
          <w:sz w:val="20"/>
          <w:szCs w:val="20"/>
        </w:rPr>
      </w:pPr>
      <w:r w:rsidRPr="00701647">
        <w:rPr>
          <w:b/>
          <w:bCs/>
          <w:sz w:val="20"/>
          <w:szCs w:val="20"/>
        </w:rPr>
        <w:t>ACQUISITION OF SCORE-UP AND CREDIT MEDS</w:t>
      </w:r>
    </w:p>
    <w:p w14:paraId="2A5AF246" w14:textId="6888791E" w:rsidR="00702A9B" w:rsidRPr="00701647" w:rsidRDefault="00702A9B" w:rsidP="00702A9B">
      <w:pPr>
        <w:ind w:left="360"/>
        <w:jc w:val="both"/>
        <w:rPr>
          <w:b/>
          <w:bCs/>
          <w:sz w:val="20"/>
          <w:szCs w:val="20"/>
        </w:rPr>
      </w:pPr>
    </w:p>
    <w:p w14:paraId="7DF79877" w14:textId="0AE78006" w:rsidR="00696E50" w:rsidRPr="00701647" w:rsidRDefault="00696E50" w:rsidP="00696E50">
      <w:pPr>
        <w:ind w:left="284"/>
        <w:jc w:val="both"/>
        <w:rPr>
          <w:sz w:val="20"/>
          <w:szCs w:val="20"/>
        </w:rPr>
      </w:pPr>
      <w:r w:rsidRPr="00701647">
        <w:rPr>
          <w:sz w:val="20"/>
          <w:szCs w:val="20"/>
        </w:rPr>
        <w:t>On August 1, 2019, Marble acquired 100% of the issued and outstanding common shares of each of Score-Up and Credit Meds, two privately held Canadian corporations. In consideration for the outstanding common shares, Marble paid cash consideration of $60,000 for the acquisition of Credit Meds and issued 590,459 common shares for the acquisition of Score-Up</w:t>
      </w:r>
      <w:r w:rsidR="006975EC" w:rsidRPr="00701647">
        <w:rPr>
          <w:sz w:val="20"/>
          <w:szCs w:val="20"/>
        </w:rPr>
        <w:t>.</w:t>
      </w:r>
      <w:r w:rsidRPr="00701647">
        <w:rPr>
          <w:sz w:val="20"/>
          <w:szCs w:val="20"/>
        </w:rPr>
        <w:t xml:space="preserve"> </w:t>
      </w:r>
      <w:r w:rsidRPr="00701647">
        <w:rPr>
          <w:sz w:val="20"/>
          <w:szCs w:val="20"/>
          <w:lang w:val="en-US"/>
        </w:rPr>
        <w:t>Both transactions were accounted for as asset acquisitions.</w:t>
      </w:r>
    </w:p>
    <w:p w14:paraId="268A4791" w14:textId="77777777" w:rsidR="00AD1E9F" w:rsidRPr="00701647" w:rsidRDefault="00AD1E9F" w:rsidP="00AD1E9F">
      <w:pPr>
        <w:jc w:val="both"/>
        <w:rPr>
          <w:sz w:val="20"/>
          <w:szCs w:val="20"/>
        </w:rPr>
      </w:pPr>
    </w:p>
    <w:p w14:paraId="305C9FD7" w14:textId="28C3FBE3" w:rsidR="004F55B2" w:rsidRPr="00701647" w:rsidRDefault="004F55B2" w:rsidP="00702A9B">
      <w:pPr>
        <w:ind w:left="284"/>
        <w:jc w:val="both"/>
        <w:rPr>
          <w:b/>
          <w:bCs/>
          <w:sz w:val="20"/>
          <w:szCs w:val="20"/>
        </w:rPr>
      </w:pPr>
      <w:r w:rsidRPr="00701647">
        <w:rPr>
          <w:b/>
          <w:bCs/>
          <w:sz w:val="20"/>
          <w:szCs w:val="20"/>
        </w:rPr>
        <w:t xml:space="preserve">Score-Up </w:t>
      </w:r>
    </w:p>
    <w:p w14:paraId="01A2F1CF" w14:textId="77777777" w:rsidR="004F55B2" w:rsidRPr="00701647" w:rsidRDefault="004F55B2" w:rsidP="00702A9B">
      <w:pPr>
        <w:ind w:left="284"/>
        <w:jc w:val="both"/>
        <w:rPr>
          <w:b/>
          <w:bCs/>
          <w:sz w:val="20"/>
          <w:szCs w:val="20"/>
        </w:rPr>
      </w:pPr>
    </w:p>
    <w:p w14:paraId="72AC25A4" w14:textId="77777777" w:rsidR="00696E50" w:rsidRPr="00701647" w:rsidRDefault="00696E50" w:rsidP="00696E50">
      <w:pPr>
        <w:ind w:left="284"/>
        <w:jc w:val="both"/>
        <w:rPr>
          <w:sz w:val="20"/>
          <w:szCs w:val="20"/>
        </w:rPr>
      </w:pPr>
      <w:r w:rsidRPr="00701647">
        <w:rPr>
          <w:sz w:val="20"/>
          <w:szCs w:val="20"/>
        </w:rPr>
        <w:t>Score-Up is a proprietary software platform that employs scientific analytical mathematical software based on rigorous credit weight algorithms, analyzing an individual's credit data, financial information, and behavioral patterns to identify where the greatest positive impact can be achieved on a specific credit file. The purchase price of $118,092 was allocated as follows:</w:t>
      </w:r>
    </w:p>
    <w:p w14:paraId="07ECB133" w14:textId="77777777" w:rsidR="00696E50" w:rsidRPr="00701647" w:rsidRDefault="00696E50" w:rsidP="00696E50">
      <w:pPr>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5"/>
      </w:tblGrid>
      <w:tr w:rsidR="00696E50" w:rsidRPr="00701647" w14:paraId="01BDA104" w14:textId="77777777" w:rsidTr="00E60C9A">
        <w:tc>
          <w:tcPr>
            <w:tcW w:w="7371" w:type="dxa"/>
            <w:tcBorders>
              <w:top w:val="double" w:sz="4" w:space="0" w:color="auto"/>
            </w:tcBorders>
          </w:tcPr>
          <w:p w14:paraId="1E5697BE" w14:textId="77777777" w:rsidR="00696E50" w:rsidRPr="00701647" w:rsidRDefault="00696E50" w:rsidP="00E60C9A">
            <w:pPr>
              <w:jc w:val="both"/>
              <w:rPr>
                <w:b/>
                <w:bCs/>
                <w:sz w:val="20"/>
                <w:szCs w:val="20"/>
              </w:rPr>
            </w:pPr>
            <w:r w:rsidRPr="00701647">
              <w:rPr>
                <w:b/>
                <w:bCs/>
                <w:sz w:val="20"/>
                <w:szCs w:val="20"/>
              </w:rPr>
              <w:t>Purchase price consideration</w:t>
            </w:r>
          </w:p>
        </w:tc>
        <w:tc>
          <w:tcPr>
            <w:tcW w:w="1705" w:type="dxa"/>
            <w:tcBorders>
              <w:top w:val="double" w:sz="4" w:space="0" w:color="auto"/>
            </w:tcBorders>
          </w:tcPr>
          <w:p w14:paraId="7B081FEC" w14:textId="77777777" w:rsidR="00696E50" w:rsidRPr="00701647" w:rsidRDefault="00696E50" w:rsidP="00E60C9A">
            <w:pPr>
              <w:rPr>
                <w:sz w:val="20"/>
                <w:szCs w:val="20"/>
              </w:rPr>
            </w:pPr>
          </w:p>
        </w:tc>
      </w:tr>
      <w:tr w:rsidR="00696E50" w:rsidRPr="00701647" w14:paraId="6DB9477E" w14:textId="77777777" w:rsidTr="00E60C9A">
        <w:tc>
          <w:tcPr>
            <w:tcW w:w="7371" w:type="dxa"/>
          </w:tcPr>
          <w:p w14:paraId="62D6C8BA" w14:textId="77777777" w:rsidR="00696E50" w:rsidRPr="00701647" w:rsidRDefault="00696E50" w:rsidP="00E60C9A">
            <w:pPr>
              <w:ind w:left="181"/>
              <w:jc w:val="both"/>
              <w:rPr>
                <w:sz w:val="20"/>
                <w:szCs w:val="20"/>
              </w:rPr>
            </w:pPr>
            <w:r w:rsidRPr="00701647">
              <w:rPr>
                <w:sz w:val="20"/>
                <w:szCs w:val="20"/>
              </w:rPr>
              <w:t>Value of 590,459 common shares issued at $0.20</w:t>
            </w:r>
          </w:p>
        </w:tc>
        <w:tc>
          <w:tcPr>
            <w:tcW w:w="1705" w:type="dxa"/>
          </w:tcPr>
          <w:p w14:paraId="64DF8334" w14:textId="77777777" w:rsidR="00696E50" w:rsidRPr="00701647" w:rsidRDefault="00696E50" w:rsidP="00E60C9A">
            <w:pPr>
              <w:tabs>
                <w:tab w:val="left" w:pos="0"/>
                <w:tab w:val="decimal" w:pos="1418"/>
              </w:tabs>
              <w:rPr>
                <w:sz w:val="20"/>
                <w:szCs w:val="20"/>
              </w:rPr>
            </w:pPr>
            <w:r w:rsidRPr="00701647">
              <w:rPr>
                <w:sz w:val="20"/>
                <w:szCs w:val="20"/>
              </w:rPr>
              <w:t>$</w:t>
            </w:r>
            <w:r w:rsidRPr="00701647">
              <w:rPr>
                <w:sz w:val="20"/>
                <w:szCs w:val="20"/>
              </w:rPr>
              <w:tab/>
              <w:t>118,092</w:t>
            </w:r>
          </w:p>
        </w:tc>
      </w:tr>
      <w:tr w:rsidR="00696E50" w:rsidRPr="00701647" w14:paraId="36668E09" w14:textId="77777777" w:rsidTr="00E60C9A">
        <w:tc>
          <w:tcPr>
            <w:tcW w:w="7371" w:type="dxa"/>
          </w:tcPr>
          <w:p w14:paraId="77F8924C" w14:textId="77777777" w:rsidR="00696E50" w:rsidRPr="00701647" w:rsidRDefault="00696E50" w:rsidP="00E60C9A">
            <w:pPr>
              <w:jc w:val="both"/>
              <w:rPr>
                <w:sz w:val="20"/>
                <w:szCs w:val="20"/>
              </w:rPr>
            </w:pPr>
          </w:p>
        </w:tc>
        <w:tc>
          <w:tcPr>
            <w:tcW w:w="1705" w:type="dxa"/>
          </w:tcPr>
          <w:p w14:paraId="1611729C" w14:textId="77777777" w:rsidR="00696E50" w:rsidRPr="00701647" w:rsidRDefault="00696E50" w:rsidP="00E60C9A">
            <w:pPr>
              <w:tabs>
                <w:tab w:val="decimal" w:pos="1418"/>
              </w:tabs>
              <w:rPr>
                <w:sz w:val="20"/>
                <w:szCs w:val="20"/>
              </w:rPr>
            </w:pPr>
          </w:p>
        </w:tc>
      </w:tr>
      <w:tr w:rsidR="00696E50" w:rsidRPr="00701647" w14:paraId="753FCD53" w14:textId="77777777" w:rsidTr="00E60C9A">
        <w:tc>
          <w:tcPr>
            <w:tcW w:w="7371" w:type="dxa"/>
          </w:tcPr>
          <w:p w14:paraId="1763AE10" w14:textId="77777777" w:rsidR="00696E50" w:rsidRPr="00701647" w:rsidRDefault="00696E50" w:rsidP="00E60C9A">
            <w:pPr>
              <w:jc w:val="both"/>
              <w:rPr>
                <w:b/>
                <w:bCs/>
                <w:sz w:val="20"/>
                <w:szCs w:val="20"/>
              </w:rPr>
            </w:pPr>
            <w:r w:rsidRPr="00701647">
              <w:rPr>
                <w:b/>
                <w:bCs/>
                <w:sz w:val="20"/>
                <w:szCs w:val="20"/>
              </w:rPr>
              <w:t>Assets acquired and liabilities assumed</w:t>
            </w:r>
          </w:p>
        </w:tc>
        <w:tc>
          <w:tcPr>
            <w:tcW w:w="1705" w:type="dxa"/>
          </w:tcPr>
          <w:p w14:paraId="66195787" w14:textId="77777777" w:rsidR="00696E50" w:rsidRPr="00701647" w:rsidRDefault="00696E50" w:rsidP="00E60C9A">
            <w:pPr>
              <w:tabs>
                <w:tab w:val="decimal" w:pos="1418"/>
              </w:tabs>
              <w:rPr>
                <w:sz w:val="20"/>
                <w:szCs w:val="20"/>
              </w:rPr>
            </w:pPr>
          </w:p>
        </w:tc>
      </w:tr>
      <w:tr w:rsidR="00696E50" w:rsidRPr="00701647" w14:paraId="01443A94" w14:textId="77777777" w:rsidTr="00E60C9A">
        <w:tc>
          <w:tcPr>
            <w:tcW w:w="7371" w:type="dxa"/>
          </w:tcPr>
          <w:p w14:paraId="2BB4EFF3" w14:textId="77777777" w:rsidR="00696E50" w:rsidRPr="00701647" w:rsidRDefault="00696E50" w:rsidP="00E60C9A">
            <w:pPr>
              <w:ind w:left="181"/>
              <w:jc w:val="both"/>
              <w:rPr>
                <w:sz w:val="20"/>
                <w:szCs w:val="20"/>
              </w:rPr>
            </w:pPr>
            <w:r w:rsidRPr="00701647">
              <w:rPr>
                <w:sz w:val="20"/>
                <w:szCs w:val="20"/>
              </w:rPr>
              <w:t>Accounts receivable</w:t>
            </w:r>
          </w:p>
        </w:tc>
        <w:tc>
          <w:tcPr>
            <w:tcW w:w="1705" w:type="dxa"/>
          </w:tcPr>
          <w:p w14:paraId="57660E6C" w14:textId="77777777" w:rsidR="00696E50" w:rsidRPr="00701647" w:rsidRDefault="00696E50" w:rsidP="00E60C9A">
            <w:pPr>
              <w:tabs>
                <w:tab w:val="decimal" w:pos="1418"/>
              </w:tabs>
              <w:rPr>
                <w:sz w:val="20"/>
                <w:szCs w:val="20"/>
              </w:rPr>
            </w:pPr>
            <w:r w:rsidRPr="00701647">
              <w:rPr>
                <w:sz w:val="20"/>
                <w:szCs w:val="20"/>
              </w:rPr>
              <w:t>4,252</w:t>
            </w:r>
          </w:p>
        </w:tc>
      </w:tr>
      <w:tr w:rsidR="00696E50" w:rsidRPr="00701647" w14:paraId="4FD8B4E3" w14:textId="77777777" w:rsidTr="00E60C9A">
        <w:tc>
          <w:tcPr>
            <w:tcW w:w="7371" w:type="dxa"/>
          </w:tcPr>
          <w:p w14:paraId="3187DE1D" w14:textId="77777777" w:rsidR="00696E50" w:rsidRPr="00701647" w:rsidRDefault="00696E50" w:rsidP="00E60C9A">
            <w:pPr>
              <w:ind w:left="181"/>
              <w:jc w:val="both"/>
              <w:rPr>
                <w:sz w:val="20"/>
                <w:szCs w:val="20"/>
              </w:rPr>
            </w:pPr>
            <w:r w:rsidRPr="00701647">
              <w:rPr>
                <w:sz w:val="20"/>
                <w:szCs w:val="20"/>
              </w:rPr>
              <w:t>Intangible assets</w:t>
            </w:r>
          </w:p>
        </w:tc>
        <w:tc>
          <w:tcPr>
            <w:tcW w:w="1705" w:type="dxa"/>
          </w:tcPr>
          <w:p w14:paraId="4460C7AB" w14:textId="77777777" w:rsidR="00696E50" w:rsidRPr="00701647" w:rsidRDefault="00696E50" w:rsidP="00E60C9A">
            <w:pPr>
              <w:tabs>
                <w:tab w:val="decimal" w:pos="1418"/>
              </w:tabs>
              <w:rPr>
                <w:sz w:val="20"/>
                <w:szCs w:val="20"/>
              </w:rPr>
            </w:pPr>
            <w:r w:rsidRPr="00701647">
              <w:rPr>
                <w:sz w:val="20"/>
                <w:szCs w:val="20"/>
              </w:rPr>
              <w:t>206,520</w:t>
            </w:r>
          </w:p>
        </w:tc>
      </w:tr>
      <w:tr w:rsidR="00696E50" w:rsidRPr="00701647" w14:paraId="51BD45DB" w14:textId="77777777" w:rsidTr="00E60C9A">
        <w:tc>
          <w:tcPr>
            <w:tcW w:w="7371" w:type="dxa"/>
          </w:tcPr>
          <w:p w14:paraId="47A04ED1" w14:textId="77777777" w:rsidR="00696E50" w:rsidRPr="00701647" w:rsidRDefault="00696E50" w:rsidP="00E60C9A">
            <w:pPr>
              <w:ind w:left="181"/>
              <w:jc w:val="both"/>
              <w:rPr>
                <w:sz w:val="20"/>
                <w:szCs w:val="20"/>
              </w:rPr>
            </w:pPr>
            <w:r w:rsidRPr="00701647">
              <w:rPr>
                <w:sz w:val="20"/>
                <w:szCs w:val="20"/>
              </w:rPr>
              <w:t>Right-of-use assets</w:t>
            </w:r>
          </w:p>
        </w:tc>
        <w:tc>
          <w:tcPr>
            <w:tcW w:w="1705" w:type="dxa"/>
          </w:tcPr>
          <w:p w14:paraId="6BFC8668" w14:textId="77777777" w:rsidR="00696E50" w:rsidRPr="00701647" w:rsidRDefault="00696E50" w:rsidP="00E60C9A">
            <w:pPr>
              <w:tabs>
                <w:tab w:val="decimal" w:pos="1418"/>
              </w:tabs>
              <w:rPr>
                <w:sz w:val="20"/>
                <w:szCs w:val="20"/>
              </w:rPr>
            </w:pPr>
            <w:r w:rsidRPr="00701647">
              <w:rPr>
                <w:sz w:val="20"/>
                <w:szCs w:val="20"/>
              </w:rPr>
              <w:t>26,668</w:t>
            </w:r>
          </w:p>
        </w:tc>
      </w:tr>
      <w:tr w:rsidR="00696E50" w:rsidRPr="00701647" w14:paraId="77244497" w14:textId="77777777" w:rsidTr="00E60C9A">
        <w:tc>
          <w:tcPr>
            <w:tcW w:w="7371" w:type="dxa"/>
          </w:tcPr>
          <w:p w14:paraId="652DC8FC" w14:textId="77777777" w:rsidR="00696E50" w:rsidRPr="00701647" w:rsidRDefault="00696E50" w:rsidP="00E60C9A">
            <w:pPr>
              <w:ind w:left="181"/>
              <w:jc w:val="both"/>
              <w:rPr>
                <w:sz w:val="20"/>
                <w:szCs w:val="20"/>
              </w:rPr>
            </w:pPr>
            <w:r w:rsidRPr="00701647">
              <w:rPr>
                <w:sz w:val="20"/>
                <w:szCs w:val="20"/>
              </w:rPr>
              <w:t>Loans payable</w:t>
            </w:r>
          </w:p>
        </w:tc>
        <w:tc>
          <w:tcPr>
            <w:tcW w:w="1705" w:type="dxa"/>
          </w:tcPr>
          <w:p w14:paraId="28845100" w14:textId="77777777" w:rsidR="00696E50" w:rsidRPr="00701647" w:rsidRDefault="00696E50" w:rsidP="00E60C9A">
            <w:pPr>
              <w:tabs>
                <w:tab w:val="decimal" w:pos="1418"/>
              </w:tabs>
              <w:rPr>
                <w:sz w:val="20"/>
                <w:szCs w:val="20"/>
              </w:rPr>
            </w:pPr>
            <w:r w:rsidRPr="00701647">
              <w:rPr>
                <w:sz w:val="20"/>
                <w:szCs w:val="20"/>
              </w:rPr>
              <w:t>(92,680)</w:t>
            </w:r>
          </w:p>
        </w:tc>
      </w:tr>
      <w:tr w:rsidR="00696E50" w:rsidRPr="00701647" w14:paraId="157E2FB8" w14:textId="77777777" w:rsidTr="00E60C9A">
        <w:tc>
          <w:tcPr>
            <w:tcW w:w="7371" w:type="dxa"/>
            <w:tcBorders>
              <w:bottom w:val="single" w:sz="4" w:space="0" w:color="auto"/>
            </w:tcBorders>
          </w:tcPr>
          <w:p w14:paraId="45683BA8" w14:textId="77777777" w:rsidR="00696E50" w:rsidRPr="00701647" w:rsidRDefault="00696E50" w:rsidP="00E60C9A">
            <w:pPr>
              <w:ind w:left="181"/>
              <w:jc w:val="both"/>
              <w:rPr>
                <w:sz w:val="20"/>
                <w:szCs w:val="20"/>
              </w:rPr>
            </w:pPr>
            <w:r w:rsidRPr="00701647">
              <w:rPr>
                <w:sz w:val="20"/>
                <w:szCs w:val="20"/>
              </w:rPr>
              <w:t>Lease liabilities</w:t>
            </w:r>
          </w:p>
        </w:tc>
        <w:tc>
          <w:tcPr>
            <w:tcW w:w="1705" w:type="dxa"/>
            <w:tcBorders>
              <w:bottom w:val="single" w:sz="4" w:space="0" w:color="auto"/>
            </w:tcBorders>
          </w:tcPr>
          <w:p w14:paraId="4AC57DF6" w14:textId="77777777" w:rsidR="00696E50" w:rsidRPr="00701647" w:rsidRDefault="00696E50" w:rsidP="00E60C9A">
            <w:pPr>
              <w:tabs>
                <w:tab w:val="decimal" w:pos="1418"/>
              </w:tabs>
              <w:rPr>
                <w:sz w:val="20"/>
                <w:szCs w:val="20"/>
              </w:rPr>
            </w:pPr>
            <w:r w:rsidRPr="00701647">
              <w:rPr>
                <w:sz w:val="20"/>
                <w:szCs w:val="20"/>
              </w:rPr>
              <w:t>(26,668)</w:t>
            </w:r>
          </w:p>
        </w:tc>
      </w:tr>
      <w:tr w:rsidR="00696E50" w:rsidRPr="00701647" w14:paraId="7D311E9B" w14:textId="77777777" w:rsidTr="00E60C9A">
        <w:tc>
          <w:tcPr>
            <w:tcW w:w="7371" w:type="dxa"/>
            <w:tcBorders>
              <w:top w:val="single" w:sz="4" w:space="0" w:color="auto"/>
            </w:tcBorders>
          </w:tcPr>
          <w:p w14:paraId="24F96828" w14:textId="77777777" w:rsidR="00696E50" w:rsidRPr="00701647" w:rsidRDefault="00696E50" w:rsidP="00E60C9A">
            <w:pPr>
              <w:ind w:left="181"/>
              <w:jc w:val="both"/>
              <w:rPr>
                <w:sz w:val="20"/>
                <w:szCs w:val="20"/>
              </w:rPr>
            </w:pPr>
          </w:p>
        </w:tc>
        <w:tc>
          <w:tcPr>
            <w:tcW w:w="1705" w:type="dxa"/>
            <w:tcBorders>
              <w:top w:val="single" w:sz="4" w:space="0" w:color="auto"/>
            </w:tcBorders>
          </w:tcPr>
          <w:p w14:paraId="0F1D96DC" w14:textId="77777777" w:rsidR="00696E50" w:rsidRPr="00701647" w:rsidRDefault="00696E50" w:rsidP="00E60C9A">
            <w:pPr>
              <w:tabs>
                <w:tab w:val="decimal" w:pos="1418"/>
              </w:tabs>
              <w:rPr>
                <w:sz w:val="20"/>
                <w:szCs w:val="20"/>
              </w:rPr>
            </w:pPr>
          </w:p>
        </w:tc>
      </w:tr>
      <w:tr w:rsidR="00696E50" w:rsidRPr="00701647" w14:paraId="3CA55D23" w14:textId="77777777" w:rsidTr="00E60C9A">
        <w:tc>
          <w:tcPr>
            <w:tcW w:w="7371" w:type="dxa"/>
            <w:tcBorders>
              <w:bottom w:val="double" w:sz="4" w:space="0" w:color="auto"/>
            </w:tcBorders>
          </w:tcPr>
          <w:p w14:paraId="60701259" w14:textId="77777777" w:rsidR="00696E50" w:rsidRPr="00701647" w:rsidRDefault="00696E50" w:rsidP="00E60C9A">
            <w:pPr>
              <w:jc w:val="both"/>
              <w:rPr>
                <w:sz w:val="20"/>
                <w:szCs w:val="20"/>
              </w:rPr>
            </w:pPr>
          </w:p>
        </w:tc>
        <w:tc>
          <w:tcPr>
            <w:tcW w:w="1705" w:type="dxa"/>
            <w:tcBorders>
              <w:bottom w:val="double" w:sz="4" w:space="0" w:color="auto"/>
            </w:tcBorders>
          </w:tcPr>
          <w:p w14:paraId="467CCBDB" w14:textId="77777777" w:rsidR="00696E50" w:rsidRPr="00701647" w:rsidRDefault="00696E50" w:rsidP="00E60C9A">
            <w:pPr>
              <w:tabs>
                <w:tab w:val="left" w:pos="0"/>
                <w:tab w:val="decimal" w:pos="1418"/>
              </w:tabs>
              <w:rPr>
                <w:sz w:val="20"/>
                <w:szCs w:val="20"/>
              </w:rPr>
            </w:pPr>
            <w:r w:rsidRPr="00701647">
              <w:rPr>
                <w:sz w:val="20"/>
                <w:szCs w:val="20"/>
              </w:rPr>
              <w:t>$</w:t>
            </w:r>
            <w:r w:rsidRPr="00701647">
              <w:rPr>
                <w:sz w:val="20"/>
                <w:szCs w:val="20"/>
              </w:rPr>
              <w:tab/>
              <w:t>118,092</w:t>
            </w:r>
          </w:p>
        </w:tc>
      </w:tr>
      <w:tr w:rsidR="00696E50" w:rsidRPr="00701647" w14:paraId="72D68BB3" w14:textId="77777777" w:rsidTr="00E60C9A">
        <w:tc>
          <w:tcPr>
            <w:tcW w:w="7371" w:type="dxa"/>
            <w:tcBorders>
              <w:top w:val="double" w:sz="4" w:space="0" w:color="auto"/>
            </w:tcBorders>
          </w:tcPr>
          <w:p w14:paraId="2EF2D39E" w14:textId="77777777" w:rsidR="00696E50" w:rsidRPr="00701647" w:rsidRDefault="00696E50" w:rsidP="00E60C9A">
            <w:pPr>
              <w:jc w:val="both"/>
              <w:rPr>
                <w:sz w:val="20"/>
                <w:szCs w:val="20"/>
              </w:rPr>
            </w:pPr>
          </w:p>
        </w:tc>
        <w:tc>
          <w:tcPr>
            <w:tcW w:w="1705" w:type="dxa"/>
            <w:tcBorders>
              <w:top w:val="double" w:sz="4" w:space="0" w:color="auto"/>
            </w:tcBorders>
          </w:tcPr>
          <w:p w14:paraId="34AD2E50" w14:textId="77777777" w:rsidR="00696E50" w:rsidRPr="00701647" w:rsidRDefault="00696E50" w:rsidP="00E60C9A">
            <w:pPr>
              <w:jc w:val="both"/>
              <w:rPr>
                <w:sz w:val="20"/>
                <w:szCs w:val="20"/>
              </w:rPr>
            </w:pPr>
          </w:p>
        </w:tc>
      </w:tr>
    </w:tbl>
    <w:p w14:paraId="2BBA4DA9" w14:textId="625B5367" w:rsidR="00696E50" w:rsidRPr="00701647" w:rsidRDefault="00696E50" w:rsidP="00696E50">
      <w:pPr>
        <w:ind w:left="284"/>
        <w:jc w:val="both"/>
        <w:rPr>
          <w:sz w:val="20"/>
          <w:szCs w:val="20"/>
        </w:rPr>
      </w:pPr>
      <w:r w:rsidRPr="00701647">
        <w:rPr>
          <w:sz w:val="20"/>
          <w:szCs w:val="20"/>
        </w:rPr>
        <w:t xml:space="preserve">Accounts receivable included HST receivable. Score-Up’s intangible assets consisted of its proprietary software platform and are amortized over a 10-year term. The Company incurred additional fees of $40,373 upon acquisition of Score-Up to develop the intangible asset, which were included in prior period additions (Note </w:t>
      </w:r>
      <w:r w:rsidR="00B41E71">
        <w:rPr>
          <w:sz w:val="20"/>
          <w:szCs w:val="20"/>
        </w:rPr>
        <w:t>9</w:t>
      </w:r>
      <w:r w:rsidRPr="00701647">
        <w:rPr>
          <w:sz w:val="20"/>
          <w:szCs w:val="20"/>
        </w:rPr>
        <w:t xml:space="preserve">). Right-of-use assets and lease liabilities consisted of an office lease with a term of 15 months that was discounted using an incremental borrowing rate of 10% per annum (Notes </w:t>
      </w:r>
      <w:r w:rsidR="00B41E71">
        <w:rPr>
          <w:sz w:val="20"/>
          <w:szCs w:val="20"/>
        </w:rPr>
        <w:t>8</w:t>
      </w:r>
      <w:r w:rsidR="00B41E71" w:rsidRPr="00701647">
        <w:rPr>
          <w:sz w:val="20"/>
          <w:szCs w:val="20"/>
        </w:rPr>
        <w:t xml:space="preserve"> </w:t>
      </w:r>
      <w:r w:rsidRPr="00701647">
        <w:rPr>
          <w:sz w:val="20"/>
          <w:szCs w:val="20"/>
        </w:rPr>
        <w:t xml:space="preserve">and </w:t>
      </w:r>
      <w:r w:rsidR="00B41E71" w:rsidRPr="00701647">
        <w:rPr>
          <w:sz w:val="20"/>
          <w:szCs w:val="20"/>
        </w:rPr>
        <w:t>1</w:t>
      </w:r>
      <w:r w:rsidR="00B41E71">
        <w:rPr>
          <w:sz w:val="20"/>
          <w:szCs w:val="20"/>
        </w:rPr>
        <w:t>3</w:t>
      </w:r>
      <w:r w:rsidRPr="00701647">
        <w:rPr>
          <w:sz w:val="20"/>
          <w:szCs w:val="20"/>
        </w:rPr>
        <w:t xml:space="preserve">).  </w:t>
      </w:r>
    </w:p>
    <w:p w14:paraId="25421B25" w14:textId="77777777" w:rsidR="00696E50" w:rsidRPr="00701647" w:rsidRDefault="00696E50" w:rsidP="00696E50">
      <w:pPr>
        <w:jc w:val="both"/>
        <w:rPr>
          <w:sz w:val="20"/>
          <w:szCs w:val="20"/>
        </w:rPr>
      </w:pPr>
    </w:p>
    <w:p w14:paraId="7418309B" w14:textId="3A22E62B" w:rsidR="00696E50" w:rsidRPr="00701647" w:rsidRDefault="00696E50" w:rsidP="00696E50">
      <w:pPr>
        <w:ind w:left="284"/>
        <w:jc w:val="both"/>
        <w:rPr>
          <w:sz w:val="20"/>
          <w:szCs w:val="20"/>
        </w:rPr>
      </w:pPr>
      <w:r w:rsidRPr="00701647">
        <w:rPr>
          <w:sz w:val="20"/>
          <w:szCs w:val="20"/>
        </w:rPr>
        <w:t xml:space="preserve">Loans payable assumed consisted of two business development loans (the “BDC Loans”) in the amounts of $26,000 and $66,680 respectively. The BDC Loans bear interest at 8.05% per annum. There were 60 monthly payments inclusive of principal and interest on the $26,000 loan that commenced on August 10, 2019, with the final payment due on October 10, 2024. The loan with remaining value of $66,680 had an original principal of $100,000 and had 40 remaining payments at the date of acquisition, with the final payment due on November 10, 2022. During the </w:t>
      </w:r>
      <w:r w:rsidR="00C117D6" w:rsidRPr="00701647">
        <w:rPr>
          <w:sz w:val="20"/>
          <w:szCs w:val="20"/>
        </w:rPr>
        <w:t>six months</w:t>
      </w:r>
      <w:r w:rsidR="00C86ACF" w:rsidRPr="00701647">
        <w:rPr>
          <w:sz w:val="20"/>
          <w:szCs w:val="20"/>
        </w:rPr>
        <w:t xml:space="preserve"> ended </w:t>
      </w:r>
      <w:r w:rsidR="00C117D6" w:rsidRPr="00701647">
        <w:rPr>
          <w:sz w:val="20"/>
          <w:szCs w:val="20"/>
        </w:rPr>
        <w:t>June 30</w:t>
      </w:r>
      <w:r w:rsidR="00C86ACF" w:rsidRPr="00701647">
        <w:rPr>
          <w:sz w:val="20"/>
          <w:szCs w:val="20"/>
        </w:rPr>
        <w:t>, 2021</w:t>
      </w:r>
      <w:r w:rsidRPr="00701647">
        <w:rPr>
          <w:sz w:val="20"/>
          <w:szCs w:val="20"/>
        </w:rPr>
        <w:t>, the Company made aggregate payments on the BDC Loans in the amount of $</w:t>
      </w:r>
      <w:r w:rsidR="00CB0874" w:rsidRPr="00CB0874">
        <w:rPr>
          <w:sz w:val="20"/>
          <w:szCs w:val="20"/>
        </w:rPr>
        <w:t>14,719</w:t>
      </w:r>
      <w:r w:rsidRPr="00701647">
        <w:rPr>
          <w:sz w:val="20"/>
          <w:szCs w:val="20"/>
        </w:rPr>
        <w:t xml:space="preserve"> inclusive of interest and administration fees of $</w:t>
      </w:r>
      <w:r w:rsidR="00CB0874" w:rsidRPr="00CB0874">
        <w:rPr>
          <w:sz w:val="20"/>
          <w:szCs w:val="20"/>
        </w:rPr>
        <w:t>2,137</w:t>
      </w:r>
      <w:r w:rsidRPr="00701647">
        <w:rPr>
          <w:sz w:val="20"/>
          <w:szCs w:val="20"/>
        </w:rPr>
        <w:t>. A continuity of the BDC Loans is as follows:</w:t>
      </w:r>
    </w:p>
    <w:p w14:paraId="5F0DA62A" w14:textId="77777777" w:rsidR="00696E50" w:rsidRPr="00701647" w:rsidRDefault="00696E50" w:rsidP="00696E50">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701"/>
        <w:gridCol w:w="1701"/>
      </w:tblGrid>
      <w:tr w:rsidR="00C86ACF" w:rsidRPr="00701647" w14:paraId="6E74D8FC" w14:textId="77777777" w:rsidTr="00E60C9A">
        <w:tc>
          <w:tcPr>
            <w:tcW w:w="5670" w:type="dxa"/>
            <w:tcBorders>
              <w:top w:val="double" w:sz="4" w:space="0" w:color="auto"/>
              <w:bottom w:val="single" w:sz="4" w:space="0" w:color="auto"/>
            </w:tcBorders>
          </w:tcPr>
          <w:p w14:paraId="29AC7CD7" w14:textId="77777777" w:rsidR="00C86ACF" w:rsidRPr="00701647" w:rsidRDefault="00C86ACF" w:rsidP="00C86ACF">
            <w:pPr>
              <w:jc w:val="both"/>
              <w:rPr>
                <w:b/>
                <w:bCs/>
                <w:sz w:val="20"/>
                <w:szCs w:val="20"/>
              </w:rPr>
            </w:pPr>
          </w:p>
        </w:tc>
        <w:tc>
          <w:tcPr>
            <w:tcW w:w="1701" w:type="dxa"/>
            <w:tcBorders>
              <w:top w:val="double" w:sz="4" w:space="0" w:color="auto"/>
              <w:bottom w:val="single" w:sz="4" w:space="0" w:color="auto"/>
            </w:tcBorders>
          </w:tcPr>
          <w:p w14:paraId="593E06F1" w14:textId="0A65F875" w:rsidR="00C86ACF" w:rsidRPr="00701647" w:rsidRDefault="00C117D6" w:rsidP="00C86ACF">
            <w:pPr>
              <w:tabs>
                <w:tab w:val="decimal" w:pos="1418"/>
              </w:tabs>
              <w:rPr>
                <w:b/>
                <w:bCs/>
                <w:sz w:val="20"/>
                <w:szCs w:val="20"/>
              </w:rPr>
            </w:pPr>
            <w:r w:rsidRPr="00701647">
              <w:rPr>
                <w:b/>
                <w:bCs/>
                <w:sz w:val="20"/>
                <w:szCs w:val="20"/>
              </w:rPr>
              <w:t>June 30</w:t>
            </w:r>
            <w:r w:rsidR="00C86ACF" w:rsidRPr="00701647">
              <w:rPr>
                <w:b/>
                <w:bCs/>
                <w:sz w:val="20"/>
                <w:szCs w:val="20"/>
              </w:rPr>
              <w:t xml:space="preserve">, </w:t>
            </w:r>
          </w:p>
          <w:p w14:paraId="3B9D264A" w14:textId="54DE0B04" w:rsidR="00C86ACF" w:rsidRPr="00701647" w:rsidRDefault="002B2D4A" w:rsidP="00C86ACF">
            <w:pPr>
              <w:tabs>
                <w:tab w:val="decimal" w:pos="1418"/>
              </w:tabs>
              <w:rPr>
                <w:b/>
                <w:bCs/>
                <w:sz w:val="20"/>
                <w:szCs w:val="20"/>
              </w:rPr>
            </w:pPr>
            <w:r w:rsidRPr="00701647">
              <w:rPr>
                <w:b/>
                <w:bCs/>
                <w:sz w:val="20"/>
                <w:szCs w:val="20"/>
              </w:rPr>
              <w:t>2021</w:t>
            </w:r>
          </w:p>
        </w:tc>
        <w:tc>
          <w:tcPr>
            <w:tcW w:w="1701" w:type="dxa"/>
            <w:tcBorders>
              <w:top w:val="double" w:sz="4" w:space="0" w:color="auto"/>
              <w:bottom w:val="single" w:sz="4" w:space="0" w:color="auto"/>
            </w:tcBorders>
          </w:tcPr>
          <w:p w14:paraId="4CD5DD3D" w14:textId="77777777" w:rsidR="00C86ACF" w:rsidRPr="00701647" w:rsidRDefault="00C86ACF" w:rsidP="00C86ACF">
            <w:pPr>
              <w:tabs>
                <w:tab w:val="decimal" w:pos="1418"/>
              </w:tabs>
              <w:rPr>
                <w:b/>
                <w:bCs/>
                <w:sz w:val="20"/>
                <w:szCs w:val="20"/>
              </w:rPr>
            </w:pPr>
            <w:r w:rsidRPr="00701647">
              <w:rPr>
                <w:b/>
                <w:bCs/>
                <w:sz w:val="20"/>
                <w:szCs w:val="20"/>
              </w:rPr>
              <w:t xml:space="preserve">December 31, </w:t>
            </w:r>
          </w:p>
          <w:p w14:paraId="2DBAB314" w14:textId="439550E4" w:rsidR="00C86ACF" w:rsidRPr="00701647" w:rsidRDefault="00C86ACF" w:rsidP="00C86ACF">
            <w:pPr>
              <w:tabs>
                <w:tab w:val="decimal" w:pos="1418"/>
              </w:tabs>
              <w:rPr>
                <w:b/>
                <w:bCs/>
                <w:sz w:val="20"/>
                <w:szCs w:val="20"/>
              </w:rPr>
            </w:pPr>
            <w:r w:rsidRPr="00701647">
              <w:rPr>
                <w:b/>
                <w:bCs/>
                <w:sz w:val="20"/>
                <w:szCs w:val="20"/>
              </w:rPr>
              <w:t>2020</w:t>
            </w:r>
          </w:p>
        </w:tc>
      </w:tr>
      <w:tr w:rsidR="00C86ACF" w:rsidRPr="00701647" w14:paraId="65609F93" w14:textId="77777777" w:rsidTr="00E60C9A">
        <w:tc>
          <w:tcPr>
            <w:tcW w:w="5670" w:type="dxa"/>
            <w:tcBorders>
              <w:top w:val="single" w:sz="4" w:space="0" w:color="auto"/>
            </w:tcBorders>
          </w:tcPr>
          <w:p w14:paraId="13B529C5" w14:textId="77777777" w:rsidR="00C86ACF" w:rsidRPr="00701647" w:rsidRDefault="00C86ACF" w:rsidP="00C86ACF">
            <w:pPr>
              <w:ind w:left="181"/>
              <w:jc w:val="both"/>
              <w:rPr>
                <w:sz w:val="20"/>
                <w:szCs w:val="20"/>
              </w:rPr>
            </w:pPr>
          </w:p>
        </w:tc>
        <w:tc>
          <w:tcPr>
            <w:tcW w:w="1701" w:type="dxa"/>
            <w:tcBorders>
              <w:top w:val="single" w:sz="4" w:space="0" w:color="auto"/>
            </w:tcBorders>
          </w:tcPr>
          <w:p w14:paraId="28102589" w14:textId="77777777" w:rsidR="00C86ACF" w:rsidRPr="00701647" w:rsidRDefault="00C86ACF" w:rsidP="00C86ACF">
            <w:pPr>
              <w:tabs>
                <w:tab w:val="left" w:pos="0"/>
                <w:tab w:val="decimal" w:pos="1418"/>
              </w:tabs>
              <w:rPr>
                <w:sz w:val="20"/>
                <w:szCs w:val="20"/>
              </w:rPr>
            </w:pPr>
          </w:p>
        </w:tc>
        <w:tc>
          <w:tcPr>
            <w:tcW w:w="1701" w:type="dxa"/>
            <w:tcBorders>
              <w:top w:val="single" w:sz="4" w:space="0" w:color="auto"/>
            </w:tcBorders>
          </w:tcPr>
          <w:p w14:paraId="0E7CD0BD" w14:textId="77777777" w:rsidR="00C86ACF" w:rsidRPr="00701647" w:rsidRDefault="00C86ACF" w:rsidP="00C86ACF">
            <w:pPr>
              <w:tabs>
                <w:tab w:val="left" w:pos="0"/>
                <w:tab w:val="decimal" w:pos="1418"/>
              </w:tabs>
              <w:rPr>
                <w:sz w:val="20"/>
                <w:szCs w:val="20"/>
              </w:rPr>
            </w:pPr>
          </w:p>
        </w:tc>
      </w:tr>
      <w:tr w:rsidR="00C86ACF" w:rsidRPr="00701647" w14:paraId="21A0F6C5" w14:textId="77777777" w:rsidTr="00E60C9A">
        <w:tc>
          <w:tcPr>
            <w:tcW w:w="5670" w:type="dxa"/>
          </w:tcPr>
          <w:p w14:paraId="46D6BE17" w14:textId="77777777" w:rsidR="00C86ACF" w:rsidRPr="00701647" w:rsidRDefault="00C86ACF" w:rsidP="00C86ACF">
            <w:pPr>
              <w:jc w:val="both"/>
              <w:rPr>
                <w:sz w:val="20"/>
                <w:szCs w:val="20"/>
              </w:rPr>
            </w:pPr>
            <w:r w:rsidRPr="00701647">
              <w:rPr>
                <w:sz w:val="20"/>
                <w:szCs w:val="20"/>
              </w:rPr>
              <w:t>Opening balance</w:t>
            </w:r>
          </w:p>
        </w:tc>
        <w:tc>
          <w:tcPr>
            <w:tcW w:w="1701" w:type="dxa"/>
            <w:shd w:val="clear" w:color="auto" w:fill="auto"/>
          </w:tcPr>
          <w:p w14:paraId="37476394" w14:textId="132E4388" w:rsidR="00C86ACF" w:rsidRPr="00701647" w:rsidRDefault="00C86ACF" w:rsidP="00C86ACF">
            <w:pPr>
              <w:tabs>
                <w:tab w:val="left" w:pos="0"/>
                <w:tab w:val="decimal" w:pos="1418"/>
              </w:tabs>
              <w:rPr>
                <w:sz w:val="20"/>
                <w:szCs w:val="20"/>
              </w:rPr>
            </w:pPr>
            <w:r w:rsidRPr="00701647">
              <w:rPr>
                <w:sz w:val="20"/>
                <w:szCs w:val="20"/>
              </w:rPr>
              <w:t>$</w:t>
            </w:r>
            <w:r w:rsidRPr="00701647">
              <w:rPr>
                <w:sz w:val="20"/>
                <w:szCs w:val="20"/>
              </w:rPr>
              <w:tab/>
            </w:r>
            <w:r w:rsidR="005B6683" w:rsidRPr="00701647">
              <w:rPr>
                <w:sz w:val="20"/>
                <w:szCs w:val="20"/>
              </w:rPr>
              <w:t>70,703</w:t>
            </w:r>
          </w:p>
        </w:tc>
        <w:tc>
          <w:tcPr>
            <w:tcW w:w="1701" w:type="dxa"/>
          </w:tcPr>
          <w:p w14:paraId="48C3FBD5" w14:textId="70C2E570" w:rsidR="00C86ACF" w:rsidRPr="00701647" w:rsidRDefault="00C86ACF" w:rsidP="00C86ACF">
            <w:pPr>
              <w:tabs>
                <w:tab w:val="left" w:pos="0"/>
                <w:tab w:val="decimal" w:pos="1418"/>
              </w:tabs>
              <w:rPr>
                <w:sz w:val="20"/>
                <w:szCs w:val="20"/>
              </w:rPr>
            </w:pPr>
            <w:r w:rsidRPr="00701647">
              <w:rPr>
                <w:sz w:val="20"/>
                <w:szCs w:val="20"/>
              </w:rPr>
              <w:t>$</w:t>
            </w:r>
            <w:r w:rsidRPr="00701647">
              <w:rPr>
                <w:sz w:val="20"/>
                <w:szCs w:val="20"/>
              </w:rPr>
              <w:tab/>
              <w:t>83,285</w:t>
            </w:r>
          </w:p>
        </w:tc>
      </w:tr>
      <w:tr w:rsidR="00C86ACF" w:rsidRPr="00701647" w14:paraId="1B5AD2F7" w14:textId="77777777" w:rsidTr="00E60C9A">
        <w:tc>
          <w:tcPr>
            <w:tcW w:w="5670" w:type="dxa"/>
          </w:tcPr>
          <w:p w14:paraId="3727959F" w14:textId="77777777" w:rsidR="00C86ACF" w:rsidRPr="00701647" w:rsidRDefault="00C86ACF" w:rsidP="00C86ACF">
            <w:pPr>
              <w:jc w:val="both"/>
              <w:rPr>
                <w:b/>
                <w:bCs/>
                <w:sz w:val="20"/>
                <w:szCs w:val="20"/>
              </w:rPr>
            </w:pPr>
          </w:p>
        </w:tc>
        <w:tc>
          <w:tcPr>
            <w:tcW w:w="1701" w:type="dxa"/>
            <w:shd w:val="clear" w:color="auto" w:fill="auto"/>
          </w:tcPr>
          <w:p w14:paraId="04A3B521" w14:textId="77777777" w:rsidR="00C86ACF" w:rsidRPr="00701647" w:rsidRDefault="00C86ACF" w:rsidP="00C86ACF">
            <w:pPr>
              <w:tabs>
                <w:tab w:val="decimal" w:pos="1418"/>
              </w:tabs>
              <w:rPr>
                <w:sz w:val="20"/>
                <w:szCs w:val="20"/>
              </w:rPr>
            </w:pPr>
          </w:p>
        </w:tc>
        <w:tc>
          <w:tcPr>
            <w:tcW w:w="1701" w:type="dxa"/>
          </w:tcPr>
          <w:p w14:paraId="17686797" w14:textId="77777777" w:rsidR="00C86ACF" w:rsidRPr="00701647" w:rsidRDefault="00C86ACF" w:rsidP="00C86ACF">
            <w:pPr>
              <w:tabs>
                <w:tab w:val="decimal" w:pos="1418"/>
              </w:tabs>
              <w:rPr>
                <w:sz w:val="20"/>
                <w:szCs w:val="20"/>
              </w:rPr>
            </w:pPr>
          </w:p>
        </w:tc>
      </w:tr>
      <w:tr w:rsidR="00C86ACF" w:rsidRPr="00701647" w14:paraId="722CFFE9" w14:textId="77777777" w:rsidTr="00E60C9A">
        <w:tc>
          <w:tcPr>
            <w:tcW w:w="5670" w:type="dxa"/>
          </w:tcPr>
          <w:p w14:paraId="0E4FFC30" w14:textId="77777777" w:rsidR="00C86ACF" w:rsidRPr="00701647" w:rsidRDefault="00C86ACF" w:rsidP="00C86ACF">
            <w:pPr>
              <w:jc w:val="both"/>
              <w:rPr>
                <w:sz w:val="20"/>
                <w:szCs w:val="20"/>
              </w:rPr>
            </w:pPr>
            <w:r w:rsidRPr="00701647">
              <w:rPr>
                <w:sz w:val="20"/>
                <w:szCs w:val="20"/>
              </w:rPr>
              <w:t>Payments</w:t>
            </w:r>
          </w:p>
        </w:tc>
        <w:tc>
          <w:tcPr>
            <w:tcW w:w="1701" w:type="dxa"/>
            <w:shd w:val="clear" w:color="auto" w:fill="auto"/>
          </w:tcPr>
          <w:p w14:paraId="2D8A7004" w14:textId="67E4C321" w:rsidR="00C86ACF" w:rsidRPr="00701647" w:rsidRDefault="00C86ACF" w:rsidP="00C86ACF">
            <w:pPr>
              <w:tabs>
                <w:tab w:val="decimal" w:pos="1418"/>
              </w:tabs>
              <w:rPr>
                <w:sz w:val="20"/>
                <w:szCs w:val="20"/>
              </w:rPr>
            </w:pPr>
            <w:r w:rsidRPr="00701647">
              <w:rPr>
                <w:sz w:val="20"/>
                <w:szCs w:val="20"/>
              </w:rPr>
              <w:t>(</w:t>
            </w:r>
            <w:r w:rsidR="00CB0874">
              <w:rPr>
                <w:sz w:val="20"/>
                <w:szCs w:val="20"/>
              </w:rPr>
              <w:t>14,719</w:t>
            </w:r>
            <w:r w:rsidRPr="00701647">
              <w:rPr>
                <w:sz w:val="20"/>
                <w:szCs w:val="20"/>
              </w:rPr>
              <w:t>)</w:t>
            </w:r>
          </w:p>
        </w:tc>
        <w:tc>
          <w:tcPr>
            <w:tcW w:w="1701" w:type="dxa"/>
          </w:tcPr>
          <w:p w14:paraId="32F8143C" w14:textId="68CCEB81" w:rsidR="00C86ACF" w:rsidRPr="00701647" w:rsidRDefault="00C86ACF" w:rsidP="00C86ACF">
            <w:pPr>
              <w:tabs>
                <w:tab w:val="decimal" w:pos="1418"/>
              </w:tabs>
              <w:rPr>
                <w:sz w:val="20"/>
                <w:szCs w:val="20"/>
              </w:rPr>
            </w:pPr>
            <w:r w:rsidRPr="00701647">
              <w:rPr>
                <w:sz w:val="20"/>
                <w:szCs w:val="20"/>
              </w:rPr>
              <w:t>(18,366)</w:t>
            </w:r>
          </w:p>
        </w:tc>
      </w:tr>
      <w:tr w:rsidR="00C86ACF" w:rsidRPr="00701647" w14:paraId="76AF2D3E" w14:textId="77777777" w:rsidTr="00E60C9A">
        <w:tc>
          <w:tcPr>
            <w:tcW w:w="5670" w:type="dxa"/>
            <w:tcBorders>
              <w:bottom w:val="single" w:sz="4" w:space="0" w:color="auto"/>
            </w:tcBorders>
          </w:tcPr>
          <w:p w14:paraId="43627DBD" w14:textId="77777777" w:rsidR="00C86ACF" w:rsidRPr="00701647" w:rsidRDefault="00C86ACF" w:rsidP="00C86ACF">
            <w:pPr>
              <w:jc w:val="both"/>
              <w:rPr>
                <w:sz w:val="20"/>
                <w:szCs w:val="20"/>
              </w:rPr>
            </w:pPr>
            <w:r w:rsidRPr="00701647">
              <w:rPr>
                <w:sz w:val="20"/>
                <w:szCs w:val="20"/>
              </w:rPr>
              <w:t>Interest and administration fees</w:t>
            </w:r>
          </w:p>
        </w:tc>
        <w:tc>
          <w:tcPr>
            <w:tcW w:w="1701" w:type="dxa"/>
            <w:tcBorders>
              <w:bottom w:val="single" w:sz="4" w:space="0" w:color="auto"/>
            </w:tcBorders>
            <w:shd w:val="clear" w:color="auto" w:fill="auto"/>
          </w:tcPr>
          <w:p w14:paraId="347E8B4F" w14:textId="4E1EBC14" w:rsidR="00C86ACF" w:rsidRPr="00701647" w:rsidRDefault="00CB0874" w:rsidP="00C86ACF">
            <w:pPr>
              <w:tabs>
                <w:tab w:val="decimal" w:pos="1418"/>
              </w:tabs>
              <w:rPr>
                <w:sz w:val="20"/>
                <w:szCs w:val="20"/>
              </w:rPr>
            </w:pPr>
            <w:r>
              <w:rPr>
                <w:sz w:val="20"/>
                <w:szCs w:val="20"/>
              </w:rPr>
              <w:t>2,137</w:t>
            </w:r>
          </w:p>
        </w:tc>
        <w:tc>
          <w:tcPr>
            <w:tcW w:w="1701" w:type="dxa"/>
            <w:tcBorders>
              <w:bottom w:val="single" w:sz="4" w:space="0" w:color="auto"/>
            </w:tcBorders>
          </w:tcPr>
          <w:p w14:paraId="75B332C2" w14:textId="250738F1" w:rsidR="00C86ACF" w:rsidRPr="00701647" w:rsidRDefault="00C86ACF" w:rsidP="00C86ACF">
            <w:pPr>
              <w:tabs>
                <w:tab w:val="decimal" w:pos="1418"/>
              </w:tabs>
              <w:rPr>
                <w:sz w:val="20"/>
                <w:szCs w:val="20"/>
              </w:rPr>
            </w:pPr>
            <w:r w:rsidRPr="00701647">
              <w:rPr>
                <w:sz w:val="20"/>
                <w:szCs w:val="20"/>
              </w:rPr>
              <w:t>5,784</w:t>
            </w:r>
          </w:p>
        </w:tc>
      </w:tr>
      <w:tr w:rsidR="00C86ACF" w:rsidRPr="00701647" w14:paraId="5FB446D5" w14:textId="77777777" w:rsidTr="00E60C9A">
        <w:tc>
          <w:tcPr>
            <w:tcW w:w="5670" w:type="dxa"/>
            <w:tcBorders>
              <w:top w:val="single" w:sz="4" w:space="0" w:color="auto"/>
            </w:tcBorders>
          </w:tcPr>
          <w:p w14:paraId="39678B99" w14:textId="77777777" w:rsidR="00C86ACF" w:rsidRPr="00701647" w:rsidRDefault="00C86ACF" w:rsidP="00C86ACF">
            <w:pPr>
              <w:jc w:val="both"/>
              <w:rPr>
                <w:sz w:val="20"/>
                <w:szCs w:val="20"/>
              </w:rPr>
            </w:pPr>
          </w:p>
        </w:tc>
        <w:tc>
          <w:tcPr>
            <w:tcW w:w="1701" w:type="dxa"/>
            <w:tcBorders>
              <w:top w:val="single" w:sz="4" w:space="0" w:color="auto"/>
            </w:tcBorders>
            <w:shd w:val="clear" w:color="auto" w:fill="auto"/>
          </w:tcPr>
          <w:p w14:paraId="546351F6" w14:textId="77777777" w:rsidR="00C86ACF" w:rsidRPr="00701647" w:rsidRDefault="00C86ACF" w:rsidP="00C86ACF">
            <w:pPr>
              <w:tabs>
                <w:tab w:val="decimal" w:pos="1418"/>
              </w:tabs>
              <w:rPr>
                <w:sz w:val="20"/>
                <w:szCs w:val="20"/>
              </w:rPr>
            </w:pPr>
          </w:p>
        </w:tc>
        <w:tc>
          <w:tcPr>
            <w:tcW w:w="1701" w:type="dxa"/>
            <w:tcBorders>
              <w:top w:val="single" w:sz="4" w:space="0" w:color="auto"/>
            </w:tcBorders>
          </w:tcPr>
          <w:p w14:paraId="014C1AFF" w14:textId="77777777" w:rsidR="00C86ACF" w:rsidRPr="00701647" w:rsidRDefault="00C86ACF" w:rsidP="00C86ACF">
            <w:pPr>
              <w:tabs>
                <w:tab w:val="decimal" w:pos="1418"/>
              </w:tabs>
              <w:rPr>
                <w:sz w:val="20"/>
                <w:szCs w:val="20"/>
              </w:rPr>
            </w:pPr>
          </w:p>
        </w:tc>
      </w:tr>
      <w:tr w:rsidR="00C86ACF" w:rsidRPr="00701647" w14:paraId="2B6989DA" w14:textId="77777777" w:rsidTr="00E60C9A">
        <w:tc>
          <w:tcPr>
            <w:tcW w:w="5670" w:type="dxa"/>
            <w:tcBorders>
              <w:bottom w:val="double" w:sz="4" w:space="0" w:color="auto"/>
            </w:tcBorders>
          </w:tcPr>
          <w:p w14:paraId="220E3AF0" w14:textId="425144B9" w:rsidR="00C86ACF" w:rsidRPr="00701647" w:rsidRDefault="00C86ACF" w:rsidP="00C86ACF">
            <w:pPr>
              <w:jc w:val="both"/>
              <w:rPr>
                <w:sz w:val="20"/>
                <w:szCs w:val="20"/>
              </w:rPr>
            </w:pPr>
            <w:r w:rsidRPr="00701647">
              <w:rPr>
                <w:sz w:val="20"/>
                <w:szCs w:val="20"/>
              </w:rPr>
              <w:t>BDC loans payable (Note 1</w:t>
            </w:r>
            <w:r w:rsidR="00DB6113" w:rsidRPr="00701647">
              <w:rPr>
                <w:sz w:val="20"/>
                <w:szCs w:val="20"/>
              </w:rPr>
              <w:t>0</w:t>
            </w:r>
            <w:r w:rsidRPr="00701647">
              <w:rPr>
                <w:sz w:val="20"/>
                <w:szCs w:val="20"/>
              </w:rPr>
              <w:t>)</w:t>
            </w:r>
          </w:p>
        </w:tc>
        <w:tc>
          <w:tcPr>
            <w:tcW w:w="1701" w:type="dxa"/>
            <w:tcBorders>
              <w:bottom w:val="double" w:sz="4" w:space="0" w:color="auto"/>
            </w:tcBorders>
            <w:shd w:val="clear" w:color="auto" w:fill="auto"/>
          </w:tcPr>
          <w:p w14:paraId="16F7DB29" w14:textId="0C22251C" w:rsidR="00C86ACF" w:rsidRPr="00701647" w:rsidRDefault="00C86ACF" w:rsidP="00C86ACF">
            <w:pPr>
              <w:tabs>
                <w:tab w:val="left" w:pos="0"/>
                <w:tab w:val="decimal" w:pos="1418"/>
              </w:tabs>
              <w:rPr>
                <w:sz w:val="20"/>
                <w:szCs w:val="20"/>
              </w:rPr>
            </w:pPr>
            <w:r w:rsidRPr="00701647">
              <w:rPr>
                <w:sz w:val="20"/>
                <w:szCs w:val="20"/>
              </w:rPr>
              <w:t>$</w:t>
            </w:r>
            <w:r w:rsidRPr="00701647">
              <w:rPr>
                <w:sz w:val="20"/>
                <w:szCs w:val="20"/>
              </w:rPr>
              <w:tab/>
            </w:r>
            <w:r w:rsidR="00CB0874">
              <w:rPr>
                <w:sz w:val="20"/>
                <w:szCs w:val="20"/>
              </w:rPr>
              <w:t>58,121</w:t>
            </w:r>
          </w:p>
        </w:tc>
        <w:tc>
          <w:tcPr>
            <w:tcW w:w="1701" w:type="dxa"/>
            <w:tcBorders>
              <w:bottom w:val="double" w:sz="4" w:space="0" w:color="auto"/>
            </w:tcBorders>
          </w:tcPr>
          <w:p w14:paraId="3D9F82CB" w14:textId="6E22918D" w:rsidR="00C86ACF" w:rsidRPr="00701647" w:rsidRDefault="00C86ACF" w:rsidP="00C86ACF">
            <w:pPr>
              <w:tabs>
                <w:tab w:val="left" w:pos="0"/>
                <w:tab w:val="decimal" w:pos="1418"/>
              </w:tabs>
              <w:rPr>
                <w:sz w:val="20"/>
                <w:szCs w:val="20"/>
              </w:rPr>
            </w:pPr>
            <w:r w:rsidRPr="00701647">
              <w:rPr>
                <w:sz w:val="20"/>
                <w:szCs w:val="20"/>
              </w:rPr>
              <w:t>$</w:t>
            </w:r>
            <w:r w:rsidRPr="00701647">
              <w:rPr>
                <w:sz w:val="20"/>
                <w:szCs w:val="20"/>
              </w:rPr>
              <w:tab/>
              <w:t>70,703</w:t>
            </w:r>
          </w:p>
        </w:tc>
      </w:tr>
      <w:tr w:rsidR="00696E50" w:rsidRPr="00701647" w14:paraId="5D9E13C9" w14:textId="77777777" w:rsidTr="00E60C9A">
        <w:tc>
          <w:tcPr>
            <w:tcW w:w="5670" w:type="dxa"/>
            <w:tcBorders>
              <w:top w:val="double" w:sz="4" w:space="0" w:color="auto"/>
            </w:tcBorders>
          </w:tcPr>
          <w:p w14:paraId="0ADA3D73" w14:textId="77777777" w:rsidR="00696E50" w:rsidRPr="00701647" w:rsidRDefault="00696E50" w:rsidP="00E60C9A">
            <w:pPr>
              <w:jc w:val="both"/>
              <w:rPr>
                <w:sz w:val="20"/>
                <w:szCs w:val="20"/>
              </w:rPr>
            </w:pPr>
          </w:p>
        </w:tc>
        <w:tc>
          <w:tcPr>
            <w:tcW w:w="1701" w:type="dxa"/>
            <w:tcBorders>
              <w:top w:val="double" w:sz="4" w:space="0" w:color="auto"/>
            </w:tcBorders>
          </w:tcPr>
          <w:p w14:paraId="717422AA" w14:textId="77777777" w:rsidR="00696E50" w:rsidRPr="00701647" w:rsidRDefault="00696E50" w:rsidP="00E60C9A">
            <w:pPr>
              <w:jc w:val="both"/>
              <w:rPr>
                <w:sz w:val="20"/>
                <w:szCs w:val="20"/>
              </w:rPr>
            </w:pPr>
          </w:p>
        </w:tc>
        <w:tc>
          <w:tcPr>
            <w:tcW w:w="1701" w:type="dxa"/>
            <w:tcBorders>
              <w:top w:val="double" w:sz="4" w:space="0" w:color="auto"/>
            </w:tcBorders>
          </w:tcPr>
          <w:p w14:paraId="0F62D550" w14:textId="77777777" w:rsidR="00696E50" w:rsidRPr="00701647" w:rsidRDefault="00696E50" w:rsidP="00E60C9A">
            <w:pPr>
              <w:jc w:val="both"/>
              <w:rPr>
                <w:sz w:val="20"/>
                <w:szCs w:val="20"/>
              </w:rPr>
            </w:pPr>
          </w:p>
        </w:tc>
      </w:tr>
    </w:tbl>
    <w:p w14:paraId="2DEB28B9" w14:textId="77777777" w:rsidR="00696E50" w:rsidRPr="00701647" w:rsidRDefault="00696E50" w:rsidP="00696E50">
      <w:pPr>
        <w:ind w:left="284"/>
        <w:jc w:val="both"/>
        <w:rPr>
          <w:b/>
          <w:bCs/>
          <w:sz w:val="20"/>
          <w:szCs w:val="20"/>
        </w:rPr>
      </w:pPr>
    </w:p>
    <w:p w14:paraId="7F2D5F85" w14:textId="77777777" w:rsidR="00696E50" w:rsidRPr="00701647" w:rsidRDefault="00696E50">
      <w:pPr>
        <w:rPr>
          <w:b/>
          <w:bCs/>
          <w:sz w:val="20"/>
          <w:szCs w:val="20"/>
        </w:rPr>
      </w:pPr>
      <w:r w:rsidRPr="00701647">
        <w:rPr>
          <w:b/>
          <w:bCs/>
          <w:sz w:val="20"/>
          <w:szCs w:val="20"/>
        </w:rPr>
        <w:br w:type="page"/>
      </w:r>
    </w:p>
    <w:p w14:paraId="163055FE" w14:textId="77777777" w:rsidR="00696E50" w:rsidRPr="00701647" w:rsidRDefault="00696E50" w:rsidP="00696E50">
      <w:pPr>
        <w:ind w:left="284"/>
        <w:jc w:val="both"/>
        <w:rPr>
          <w:b/>
          <w:bCs/>
          <w:sz w:val="20"/>
          <w:szCs w:val="20"/>
        </w:rPr>
      </w:pPr>
    </w:p>
    <w:p w14:paraId="6E065EF2" w14:textId="77777777" w:rsidR="00696E50" w:rsidRPr="00701647" w:rsidRDefault="00696E50" w:rsidP="005C6969">
      <w:pPr>
        <w:pStyle w:val="ListParagraph"/>
        <w:numPr>
          <w:ilvl w:val="0"/>
          <w:numId w:val="10"/>
        </w:numPr>
        <w:ind w:left="284"/>
        <w:rPr>
          <w:b/>
          <w:bCs/>
          <w:sz w:val="20"/>
          <w:szCs w:val="20"/>
        </w:rPr>
      </w:pPr>
      <w:r w:rsidRPr="00701647">
        <w:rPr>
          <w:b/>
          <w:bCs/>
          <w:sz w:val="20"/>
          <w:szCs w:val="20"/>
        </w:rPr>
        <w:t>ACQUISITION OF SCORE-UP AND CREDIT MEDS</w:t>
      </w:r>
      <w:r w:rsidRPr="00701647">
        <w:rPr>
          <w:sz w:val="20"/>
          <w:szCs w:val="20"/>
        </w:rPr>
        <w:t xml:space="preserve"> </w:t>
      </w:r>
      <w:r w:rsidRPr="00701647">
        <w:rPr>
          <w:i/>
          <w:iCs/>
          <w:sz w:val="20"/>
          <w:szCs w:val="20"/>
        </w:rPr>
        <w:t>(cont’d…)</w:t>
      </w:r>
    </w:p>
    <w:p w14:paraId="05CA482D" w14:textId="77777777" w:rsidR="00696E50" w:rsidRPr="00701647" w:rsidRDefault="00696E50" w:rsidP="00696E50">
      <w:pPr>
        <w:ind w:left="284"/>
        <w:jc w:val="both"/>
        <w:rPr>
          <w:b/>
          <w:bCs/>
          <w:sz w:val="20"/>
          <w:szCs w:val="20"/>
        </w:rPr>
      </w:pPr>
    </w:p>
    <w:p w14:paraId="1469E8EE" w14:textId="3B4FF72D" w:rsidR="00696E50" w:rsidRPr="00701647" w:rsidRDefault="00696E50" w:rsidP="00696E50">
      <w:pPr>
        <w:ind w:left="284"/>
        <w:jc w:val="both"/>
        <w:rPr>
          <w:b/>
          <w:bCs/>
          <w:sz w:val="20"/>
          <w:szCs w:val="20"/>
        </w:rPr>
      </w:pPr>
      <w:r w:rsidRPr="00701647">
        <w:rPr>
          <w:b/>
          <w:bCs/>
          <w:sz w:val="20"/>
          <w:szCs w:val="20"/>
        </w:rPr>
        <w:t>Credit Meds</w:t>
      </w:r>
    </w:p>
    <w:p w14:paraId="3E199CF2" w14:textId="77777777" w:rsidR="00696E50" w:rsidRPr="00701647" w:rsidRDefault="00696E50" w:rsidP="00696E50">
      <w:pPr>
        <w:ind w:left="284"/>
        <w:jc w:val="both"/>
        <w:rPr>
          <w:sz w:val="20"/>
          <w:szCs w:val="20"/>
        </w:rPr>
      </w:pPr>
    </w:p>
    <w:p w14:paraId="77A6C960" w14:textId="77777777" w:rsidR="00696E50" w:rsidRPr="00701647" w:rsidRDefault="00696E50" w:rsidP="00696E50">
      <w:pPr>
        <w:ind w:left="284"/>
        <w:jc w:val="both"/>
        <w:rPr>
          <w:sz w:val="20"/>
          <w:szCs w:val="20"/>
        </w:rPr>
      </w:pPr>
      <w:r w:rsidRPr="00701647">
        <w:rPr>
          <w:sz w:val="20"/>
          <w:szCs w:val="20"/>
        </w:rPr>
        <w:t>Credit Meds is a front-end diagnostic tool that allows the Company to assess the financial health of a consumer and provide the appropriate prescription and recommendations towards financial wellness and recovery. The purchase price of $60,000 was allocated as follows:</w:t>
      </w:r>
    </w:p>
    <w:p w14:paraId="5488636E" w14:textId="77777777" w:rsidR="00696E50" w:rsidRPr="00701647" w:rsidRDefault="00696E50" w:rsidP="00696E50">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5"/>
      </w:tblGrid>
      <w:tr w:rsidR="00696E50" w:rsidRPr="00701647" w14:paraId="686DE14F" w14:textId="77777777" w:rsidTr="00E60C9A">
        <w:tc>
          <w:tcPr>
            <w:tcW w:w="7371" w:type="dxa"/>
            <w:tcBorders>
              <w:top w:val="double" w:sz="4" w:space="0" w:color="auto"/>
            </w:tcBorders>
          </w:tcPr>
          <w:p w14:paraId="0F5B6109" w14:textId="77777777" w:rsidR="00696E50" w:rsidRPr="00701647" w:rsidRDefault="00696E50" w:rsidP="00E60C9A">
            <w:pPr>
              <w:jc w:val="both"/>
              <w:rPr>
                <w:b/>
                <w:bCs/>
                <w:sz w:val="20"/>
                <w:szCs w:val="20"/>
              </w:rPr>
            </w:pPr>
            <w:r w:rsidRPr="00701647">
              <w:rPr>
                <w:b/>
                <w:bCs/>
                <w:sz w:val="20"/>
                <w:szCs w:val="20"/>
              </w:rPr>
              <w:t>Purchase price consideration</w:t>
            </w:r>
          </w:p>
        </w:tc>
        <w:tc>
          <w:tcPr>
            <w:tcW w:w="1705" w:type="dxa"/>
            <w:tcBorders>
              <w:top w:val="double" w:sz="4" w:space="0" w:color="auto"/>
            </w:tcBorders>
          </w:tcPr>
          <w:p w14:paraId="3FA6433A" w14:textId="77777777" w:rsidR="00696E50" w:rsidRPr="00701647" w:rsidRDefault="00696E50" w:rsidP="00E60C9A">
            <w:pPr>
              <w:rPr>
                <w:sz w:val="20"/>
                <w:szCs w:val="20"/>
              </w:rPr>
            </w:pPr>
          </w:p>
        </w:tc>
      </w:tr>
      <w:tr w:rsidR="00696E50" w:rsidRPr="00701647" w14:paraId="3D792B87" w14:textId="77777777" w:rsidTr="00E60C9A">
        <w:tc>
          <w:tcPr>
            <w:tcW w:w="7371" w:type="dxa"/>
          </w:tcPr>
          <w:p w14:paraId="5A697A5A" w14:textId="77777777" w:rsidR="00696E50" w:rsidRPr="00701647" w:rsidRDefault="00696E50" w:rsidP="00E60C9A">
            <w:pPr>
              <w:ind w:left="181"/>
              <w:jc w:val="both"/>
              <w:rPr>
                <w:sz w:val="20"/>
                <w:szCs w:val="20"/>
              </w:rPr>
            </w:pPr>
            <w:r w:rsidRPr="00701647">
              <w:rPr>
                <w:sz w:val="20"/>
                <w:szCs w:val="20"/>
              </w:rPr>
              <w:t>Cash</w:t>
            </w:r>
          </w:p>
        </w:tc>
        <w:tc>
          <w:tcPr>
            <w:tcW w:w="1705" w:type="dxa"/>
          </w:tcPr>
          <w:p w14:paraId="1B87A2B1" w14:textId="77777777" w:rsidR="00696E50" w:rsidRPr="00701647" w:rsidRDefault="00696E50" w:rsidP="00E60C9A">
            <w:pPr>
              <w:tabs>
                <w:tab w:val="left" w:pos="0"/>
                <w:tab w:val="decimal" w:pos="1418"/>
              </w:tabs>
              <w:rPr>
                <w:sz w:val="20"/>
                <w:szCs w:val="20"/>
              </w:rPr>
            </w:pPr>
            <w:r w:rsidRPr="00701647">
              <w:rPr>
                <w:sz w:val="20"/>
                <w:szCs w:val="20"/>
              </w:rPr>
              <w:t>$</w:t>
            </w:r>
            <w:r w:rsidRPr="00701647">
              <w:rPr>
                <w:sz w:val="20"/>
                <w:szCs w:val="20"/>
              </w:rPr>
              <w:tab/>
              <w:t>60,000</w:t>
            </w:r>
          </w:p>
        </w:tc>
      </w:tr>
      <w:tr w:rsidR="00696E50" w:rsidRPr="00701647" w14:paraId="578266EA" w14:textId="77777777" w:rsidTr="00E60C9A">
        <w:tc>
          <w:tcPr>
            <w:tcW w:w="7371" w:type="dxa"/>
          </w:tcPr>
          <w:p w14:paraId="6C87C1F7" w14:textId="77777777" w:rsidR="00696E50" w:rsidRPr="00701647" w:rsidRDefault="00696E50" w:rsidP="00E60C9A">
            <w:pPr>
              <w:jc w:val="both"/>
              <w:rPr>
                <w:b/>
                <w:bCs/>
                <w:sz w:val="20"/>
                <w:szCs w:val="20"/>
              </w:rPr>
            </w:pPr>
            <w:r w:rsidRPr="00701647">
              <w:rPr>
                <w:b/>
                <w:bCs/>
                <w:sz w:val="20"/>
                <w:szCs w:val="20"/>
              </w:rPr>
              <w:t>Assets acquired and liabilities assumed</w:t>
            </w:r>
          </w:p>
        </w:tc>
        <w:tc>
          <w:tcPr>
            <w:tcW w:w="1705" w:type="dxa"/>
          </w:tcPr>
          <w:p w14:paraId="2F291E76" w14:textId="77777777" w:rsidR="00696E50" w:rsidRPr="00701647" w:rsidRDefault="00696E50" w:rsidP="00E60C9A">
            <w:pPr>
              <w:tabs>
                <w:tab w:val="decimal" w:pos="1418"/>
              </w:tabs>
              <w:rPr>
                <w:sz w:val="20"/>
                <w:szCs w:val="20"/>
              </w:rPr>
            </w:pPr>
          </w:p>
        </w:tc>
      </w:tr>
      <w:tr w:rsidR="00696E50" w:rsidRPr="00701647" w14:paraId="5665380C" w14:textId="77777777" w:rsidTr="00E60C9A">
        <w:tc>
          <w:tcPr>
            <w:tcW w:w="7371" w:type="dxa"/>
            <w:tcBorders>
              <w:bottom w:val="single" w:sz="4" w:space="0" w:color="auto"/>
            </w:tcBorders>
          </w:tcPr>
          <w:p w14:paraId="40B2F4E0" w14:textId="77777777" w:rsidR="00696E50" w:rsidRPr="00701647" w:rsidRDefault="00696E50" w:rsidP="00E60C9A">
            <w:pPr>
              <w:ind w:left="181"/>
              <w:jc w:val="both"/>
              <w:rPr>
                <w:sz w:val="20"/>
                <w:szCs w:val="20"/>
              </w:rPr>
            </w:pPr>
            <w:r w:rsidRPr="00701647">
              <w:rPr>
                <w:sz w:val="20"/>
                <w:szCs w:val="20"/>
              </w:rPr>
              <w:t>Intangible assets</w:t>
            </w:r>
          </w:p>
        </w:tc>
        <w:tc>
          <w:tcPr>
            <w:tcW w:w="1705" w:type="dxa"/>
            <w:tcBorders>
              <w:bottom w:val="single" w:sz="4" w:space="0" w:color="auto"/>
            </w:tcBorders>
          </w:tcPr>
          <w:p w14:paraId="2C69155C" w14:textId="77777777" w:rsidR="00696E50" w:rsidRPr="00701647" w:rsidRDefault="00696E50" w:rsidP="00E60C9A">
            <w:pPr>
              <w:tabs>
                <w:tab w:val="decimal" w:pos="1418"/>
              </w:tabs>
              <w:rPr>
                <w:sz w:val="20"/>
                <w:szCs w:val="20"/>
              </w:rPr>
            </w:pPr>
            <w:r w:rsidRPr="00701647">
              <w:rPr>
                <w:sz w:val="20"/>
                <w:szCs w:val="20"/>
              </w:rPr>
              <w:t>60,000</w:t>
            </w:r>
          </w:p>
        </w:tc>
      </w:tr>
      <w:tr w:rsidR="00696E50" w:rsidRPr="00701647" w14:paraId="711DD7DB" w14:textId="77777777" w:rsidTr="00E60C9A">
        <w:tc>
          <w:tcPr>
            <w:tcW w:w="7371" w:type="dxa"/>
            <w:tcBorders>
              <w:top w:val="single" w:sz="4" w:space="0" w:color="auto"/>
            </w:tcBorders>
          </w:tcPr>
          <w:p w14:paraId="04240519" w14:textId="77777777" w:rsidR="00696E50" w:rsidRPr="00701647" w:rsidRDefault="00696E50" w:rsidP="00E60C9A">
            <w:pPr>
              <w:ind w:left="181"/>
              <w:jc w:val="both"/>
              <w:rPr>
                <w:sz w:val="20"/>
                <w:szCs w:val="20"/>
              </w:rPr>
            </w:pPr>
          </w:p>
        </w:tc>
        <w:tc>
          <w:tcPr>
            <w:tcW w:w="1705" w:type="dxa"/>
            <w:tcBorders>
              <w:top w:val="single" w:sz="4" w:space="0" w:color="auto"/>
            </w:tcBorders>
          </w:tcPr>
          <w:p w14:paraId="74E4304C" w14:textId="77777777" w:rsidR="00696E50" w:rsidRPr="00701647" w:rsidRDefault="00696E50" w:rsidP="00E60C9A">
            <w:pPr>
              <w:tabs>
                <w:tab w:val="decimal" w:pos="1418"/>
              </w:tabs>
              <w:rPr>
                <w:sz w:val="20"/>
                <w:szCs w:val="20"/>
              </w:rPr>
            </w:pPr>
          </w:p>
        </w:tc>
      </w:tr>
      <w:tr w:rsidR="00696E50" w:rsidRPr="00701647" w14:paraId="4E0F135F" w14:textId="77777777" w:rsidTr="00E60C9A">
        <w:tc>
          <w:tcPr>
            <w:tcW w:w="7371" w:type="dxa"/>
            <w:tcBorders>
              <w:bottom w:val="double" w:sz="4" w:space="0" w:color="auto"/>
            </w:tcBorders>
          </w:tcPr>
          <w:p w14:paraId="20EEDD54" w14:textId="77777777" w:rsidR="00696E50" w:rsidRPr="00701647" w:rsidRDefault="00696E50" w:rsidP="00E60C9A">
            <w:pPr>
              <w:jc w:val="both"/>
              <w:rPr>
                <w:sz w:val="20"/>
                <w:szCs w:val="20"/>
              </w:rPr>
            </w:pPr>
          </w:p>
        </w:tc>
        <w:tc>
          <w:tcPr>
            <w:tcW w:w="1705" w:type="dxa"/>
            <w:tcBorders>
              <w:bottom w:val="double" w:sz="4" w:space="0" w:color="auto"/>
            </w:tcBorders>
          </w:tcPr>
          <w:p w14:paraId="06ADA13B" w14:textId="77777777" w:rsidR="00696E50" w:rsidRPr="00701647" w:rsidRDefault="00696E50" w:rsidP="00E60C9A">
            <w:pPr>
              <w:tabs>
                <w:tab w:val="left" w:pos="0"/>
                <w:tab w:val="decimal" w:pos="1418"/>
              </w:tabs>
              <w:rPr>
                <w:sz w:val="20"/>
                <w:szCs w:val="20"/>
              </w:rPr>
            </w:pPr>
            <w:r w:rsidRPr="00701647">
              <w:rPr>
                <w:sz w:val="20"/>
                <w:szCs w:val="20"/>
              </w:rPr>
              <w:t>$</w:t>
            </w:r>
            <w:r w:rsidRPr="00701647">
              <w:rPr>
                <w:sz w:val="20"/>
                <w:szCs w:val="20"/>
              </w:rPr>
              <w:tab/>
              <w:t>60,000</w:t>
            </w:r>
          </w:p>
        </w:tc>
      </w:tr>
      <w:tr w:rsidR="00696E50" w:rsidRPr="00701647" w14:paraId="044D5A2E" w14:textId="77777777" w:rsidTr="00E60C9A">
        <w:tc>
          <w:tcPr>
            <w:tcW w:w="7371" w:type="dxa"/>
            <w:tcBorders>
              <w:top w:val="double" w:sz="4" w:space="0" w:color="auto"/>
            </w:tcBorders>
          </w:tcPr>
          <w:p w14:paraId="33671388" w14:textId="77777777" w:rsidR="00696E50" w:rsidRPr="00701647" w:rsidRDefault="00696E50" w:rsidP="00E60C9A">
            <w:pPr>
              <w:jc w:val="both"/>
              <w:rPr>
                <w:sz w:val="20"/>
                <w:szCs w:val="20"/>
              </w:rPr>
            </w:pPr>
          </w:p>
        </w:tc>
        <w:tc>
          <w:tcPr>
            <w:tcW w:w="1705" w:type="dxa"/>
            <w:tcBorders>
              <w:top w:val="double" w:sz="4" w:space="0" w:color="auto"/>
            </w:tcBorders>
          </w:tcPr>
          <w:p w14:paraId="14651117" w14:textId="77777777" w:rsidR="00696E50" w:rsidRPr="00701647" w:rsidRDefault="00696E50" w:rsidP="00E60C9A">
            <w:pPr>
              <w:jc w:val="both"/>
              <w:rPr>
                <w:sz w:val="20"/>
                <w:szCs w:val="20"/>
              </w:rPr>
            </w:pPr>
          </w:p>
        </w:tc>
      </w:tr>
    </w:tbl>
    <w:p w14:paraId="067B13E8" w14:textId="14F64E7C" w:rsidR="00696E50" w:rsidRPr="00701647" w:rsidRDefault="00696E50" w:rsidP="00696E50">
      <w:pPr>
        <w:ind w:left="284"/>
        <w:jc w:val="both"/>
        <w:rPr>
          <w:sz w:val="20"/>
          <w:szCs w:val="20"/>
        </w:rPr>
      </w:pPr>
      <w:r w:rsidRPr="00701647">
        <w:rPr>
          <w:sz w:val="20"/>
          <w:szCs w:val="20"/>
        </w:rPr>
        <w:t xml:space="preserve">The intangible assets acquired include the intellectual property related to the financial health diagnostic tool which will be amortized over a 10-year term (Note </w:t>
      </w:r>
      <w:r w:rsidR="009D226E">
        <w:rPr>
          <w:sz w:val="20"/>
          <w:szCs w:val="20"/>
        </w:rPr>
        <w:t>9</w:t>
      </w:r>
      <w:r w:rsidRPr="00701647">
        <w:rPr>
          <w:sz w:val="20"/>
          <w:szCs w:val="20"/>
        </w:rPr>
        <w:t xml:space="preserve">). As </w:t>
      </w:r>
      <w:proofErr w:type="gramStart"/>
      <w:r w:rsidRPr="00701647">
        <w:rPr>
          <w:sz w:val="20"/>
          <w:szCs w:val="20"/>
        </w:rPr>
        <w:t>at</w:t>
      </w:r>
      <w:proofErr w:type="gramEnd"/>
      <w:r w:rsidRPr="00701647">
        <w:rPr>
          <w:sz w:val="20"/>
          <w:szCs w:val="20"/>
        </w:rPr>
        <w:t xml:space="preserve"> </w:t>
      </w:r>
      <w:r w:rsidR="00C117D6" w:rsidRPr="00701647">
        <w:rPr>
          <w:sz w:val="20"/>
          <w:szCs w:val="20"/>
        </w:rPr>
        <w:t>June 30</w:t>
      </w:r>
      <w:r w:rsidR="00B545BF" w:rsidRPr="00701647">
        <w:rPr>
          <w:sz w:val="20"/>
          <w:szCs w:val="20"/>
        </w:rPr>
        <w:t>, 2021</w:t>
      </w:r>
      <w:r w:rsidRPr="00701647">
        <w:rPr>
          <w:sz w:val="20"/>
          <w:szCs w:val="20"/>
        </w:rPr>
        <w:t>, the asset</w:t>
      </w:r>
      <w:r w:rsidR="002B2D4A" w:rsidRPr="00701647">
        <w:rPr>
          <w:sz w:val="20"/>
          <w:szCs w:val="20"/>
        </w:rPr>
        <w:t>s</w:t>
      </w:r>
      <w:r w:rsidRPr="00701647">
        <w:rPr>
          <w:sz w:val="20"/>
          <w:szCs w:val="20"/>
        </w:rPr>
        <w:t xml:space="preserve"> </w:t>
      </w:r>
      <w:r w:rsidR="002B2D4A" w:rsidRPr="00701647">
        <w:rPr>
          <w:sz w:val="20"/>
          <w:szCs w:val="20"/>
        </w:rPr>
        <w:t xml:space="preserve">are </w:t>
      </w:r>
      <w:r w:rsidRPr="00701647">
        <w:rPr>
          <w:sz w:val="20"/>
          <w:szCs w:val="20"/>
        </w:rPr>
        <w:t>not yet in use and amortization has not commenced.</w:t>
      </w:r>
    </w:p>
    <w:p w14:paraId="783C4CDB" w14:textId="3C5D770D" w:rsidR="0040601C" w:rsidRPr="0007463E" w:rsidRDefault="0040601C" w:rsidP="00696E50">
      <w:pPr>
        <w:ind w:left="284"/>
        <w:jc w:val="both"/>
        <w:rPr>
          <w:sz w:val="20"/>
          <w:szCs w:val="20"/>
          <w:highlight w:val="yellow"/>
        </w:rPr>
      </w:pPr>
    </w:p>
    <w:p w14:paraId="24B6FB72" w14:textId="08FF88C7" w:rsidR="0040601C" w:rsidRPr="004958F5" w:rsidRDefault="0040601C" w:rsidP="0040601C">
      <w:pPr>
        <w:pStyle w:val="ListParagraph"/>
        <w:numPr>
          <w:ilvl w:val="0"/>
          <w:numId w:val="10"/>
        </w:numPr>
        <w:ind w:left="284"/>
        <w:rPr>
          <w:b/>
          <w:bCs/>
          <w:sz w:val="20"/>
          <w:szCs w:val="20"/>
        </w:rPr>
      </w:pPr>
      <w:r w:rsidRPr="004958F5">
        <w:rPr>
          <w:b/>
          <w:bCs/>
          <w:sz w:val="20"/>
          <w:szCs w:val="20"/>
        </w:rPr>
        <w:t>ACQUISITION OF INVERITE</w:t>
      </w:r>
    </w:p>
    <w:p w14:paraId="4E2EE4A0" w14:textId="4E5A0DD8" w:rsidR="00701647" w:rsidRPr="004958F5" w:rsidRDefault="00701647" w:rsidP="00701647">
      <w:pPr>
        <w:rPr>
          <w:b/>
          <w:bCs/>
          <w:sz w:val="20"/>
          <w:szCs w:val="20"/>
        </w:rPr>
      </w:pPr>
    </w:p>
    <w:p w14:paraId="6FD1E850" w14:textId="7E0276BD" w:rsidR="00701647" w:rsidRDefault="004958F5" w:rsidP="00760411">
      <w:pPr>
        <w:ind w:left="284"/>
        <w:jc w:val="both"/>
        <w:rPr>
          <w:sz w:val="20"/>
          <w:szCs w:val="20"/>
        </w:rPr>
      </w:pPr>
      <w:r w:rsidRPr="004958F5">
        <w:rPr>
          <w:sz w:val="20"/>
          <w:szCs w:val="20"/>
        </w:rPr>
        <w:t xml:space="preserve">On April 12, 2021, the Company acquired </w:t>
      </w:r>
      <w:proofErr w:type="gramStart"/>
      <w:r w:rsidRPr="004958F5">
        <w:rPr>
          <w:sz w:val="20"/>
          <w:szCs w:val="20"/>
        </w:rPr>
        <w:t>all of</w:t>
      </w:r>
      <w:proofErr w:type="gramEnd"/>
      <w:r w:rsidRPr="004958F5">
        <w:rPr>
          <w:sz w:val="20"/>
          <w:szCs w:val="20"/>
        </w:rPr>
        <w:t xml:space="preserve"> the issued and outstanding shares of </w:t>
      </w:r>
      <w:proofErr w:type="spellStart"/>
      <w:r w:rsidRPr="004958F5">
        <w:rPr>
          <w:sz w:val="20"/>
          <w:szCs w:val="20"/>
        </w:rPr>
        <w:t>Inverite</w:t>
      </w:r>
      <w:proofErr w:type="spellEnd"/>
      <w:r w:rsidRPr="004958F5">
        <w:rPr>
          <w:sz w:val="20"/>
          <w:szCs w:val="20"/>
        </w:rPr>
        <w:t xml:space="preserve"> for a purchase price of $1,460,000 plus an earn out provision of up to $2,500,000 calculated based on a multiple of annual incremental revenue (“AIR”) of </w:t>
      </w:r>
      <w:proofErr w:type="spellStart"/>
      <w:r w:rsidRPr="004958F5">
        <w:rPr>
          <w:sz w:val="20"/>
          <w:szCs w:val="20"/>
        </w:rPr>
        <w:t>Inverite</w:t>
      </w:r>
      <w:proofErr w:type="spellEnd"/>
      <w:r w:rsidRPr="004958F5">
        <w:rPr>
          <w:sz w:val="20"/>
          <w:szCs w:val="20"/>
        </w:rPr>
        <w:t xml:space="preserve"> over the two consecutive one-year periods following the closing, payable in cash or common shares at the option of the Company. The effective price of any common shares issued in satisfaction of the payment of any portion of the earn-out amount will be the greater of (</w:t>
      </w:r>
      <w:proofErr w:type="spellStart"/>
      <w:r w:rsidRPr="004958F5">
        <w:rPr>
          <w:sz w:val="20"/>
          <w:szCs w:val="20"/>
        </w:rPr>
        <w:t>i</w:t>
      </w:r>
      <w:proofErr w:type="spellEnd"/>
      <w:r w:rsidRPr="004958F5">
        <w:rPr>
          <w:sz w:val="20"/>
          <w:szCs w:val="20"/>
        </w:rPr>
        <w:t xml:space="preserve">) the volume weighted average price of the common shares for the 10 consecutive trading days preceding the last day of the applicable earn-out period, and (ii) closing </w:t>
      </w:r>
      <w:r w:rsidR="009D226E">
        <w:rPr>
          <w:sz w:val="20"/>
          <w:szCs w:val="20"/>
        </w:rPr>
        <w:t xml:space="preserve">share </w:t>
      </w:r>
      <w:r w:rsidRPr="004958F5">
        <w:rPr>
          <w:sz w:val="20"/>
          <w:szCs w:val="20"/>
        </w:rPr>
        <w:t xml:space="preserve">price on the last trading day prior to the closing </w:t>
      </w:r>
      <w:r w:rsidR="009D226E">
        <w:rPr>
          <w:sz w:val="20"/>
          <w:szCs w:val="20"/>
        </w:rPr>
        <w:t>date</w:t>
      </w:r>
      <w:r w:rsidRPr="004958F5">
        <w:rPr>
          <w:sz w:val="20"/>
          <w:szCs w:val="20"/>
        </w:rPr>
        <w:t>, which was $0.235 per share.</w:t>
      </w:r>
    </w:p>
    <w:p w14:paraId="01EF8F44" w14:textId="5E57DBE6" w:rsidR="004958F5" w:rsidRDefault="004958F5" w:rsidP="00701647">
      <w:pPr>
        <w:ind w:left="284"/>
        <w:rPr>
          <w:sz w:val="20"/>
          <w:szCs w:val="20"/>
        </w:rPr>
      </w:pPr>
    </w:p>
    <w:p w14:paraId="01B4674F" w14:textId="40D3883E" w:rsidR="009D226E" w:rsidRPr="009D226E" w:rsidRDefault="00E67F51" w:rsidP="00760411">
      <w:pPr>
        <w:ind w:left="284"/>
        <w:jc w:val="both"/>
        <w:rPr>
          <w:sz w:val="20"/>
          <w:szCs w:val="20"/>
        </w:rPr>
      </w:pPr>
      <w:r>
        <w:rPr>
          <w:sz w:val="20"/>
          <w:szCs w:val="20"/>
        </w:rPr>
        <w:t xml:space="preserve">The transaction was accounted for as a business combination, as the operations of </w:t>
      </w:r>
      <w:proofErr w:type="spellStart"/>
      <w:r>
        <w:rPr>
          <w:sz w:val="20"/>
          <w:szCs w:val="20"/>
        </w:rPr>
        <w:t>Inverite</w:t>
      </w:r>
      <w:proofErr w:type="spellEnd"/>
      <w:r>
        <w:rPr>
          <w:sz w:val="20"/>
          <w:szCs w:val="20"/>
        </w:rPr>
        <w:t xml:space="preserve"> meet the definition of a business. </w:t>
      </w:r>
      <w:r w:rsidR="009D226E" w:rsidRPr="009D226E">
        <w:rPr>
          <w:sz w:val="20"/>
          <w:szCs w:val="20"/>
        </w:rPr>
        <w:t xml:space="preserve">As the transaction was accounted for as a business combination, transaction costs were expensed.  The goodwill resulting from the allocation of the purchase price to the total fair value of net assets will represent the sales and growth potential of </w:t>
      </w:r>
      <w:proofErr w:type="spellStart"/>
      <w:r w:rsidR="009D226E">
        <w:rPr>
          <w:sz w:val="20"/>
          <w:szCs w:val="20"/>
        </w:rPr>
        <w:t>Inverite</w:t>
      </w:r>
      <w:proofErr w:type="spellEnd"/>
      <w:r w:rsidR="009D226E" w:rsidRPr="009D226E">
        <w:rPr>
          <w:sz w:val="20"/>
          <w:szCs w:val="20"/>
        </w:rPr>
        <w:t xml:space="preserve">. </w:t>
      </w:r>
    </w:p>
    <w:p w14:paraId="00EBE72B" w14:textId="77777777" w:rsidR="009D226E" w:rsidRPr="009D226E" w:rsidRDefault="009D226E" w:rsidP="009D226E">
      <w:pPr>
        <w:ind w:left="284"/>
        <w:rPr>
          <w:sz w:val="20"/>
          <w:szCs w:val="20"/>
        </w:rPr>
      </w:pPr>
    </w:p>
    <w:p w14:paraId="6B9BE93C" w14:textId="24243B56" w:rsidR="004958F5" w:rsidRDefault="009D226E" w:rsidP="00760411">
      <w:pPr>
        <w:ind w:left="284"/>
        <w:jc w:val="both"/>
        <w:rPr>
          <w:sz w:val="20"/>
          <w:szCs w:val="20"/>
        </w:rPr>
      </w:pPr>
      <w:r w:rsidRPr="009D226E">
        <w:rPr>
          <w:sz w:val="20"/>
          <w:szCs w:val="20"/>
        </w:rPr>
        <w:t xml:space="preserve">The fair value of the consideration transferred has been determined on a preliminary basis. The consideration has been allocated to the assets acquired and liabilities assumed on a preliminary basis based on their estimated fair values at the date of acquisition. Due to the timing of the acquisition, the Company will require additional information to allocate the fair values to the net assets acquired, particularly to any goodwill acquired.  The determination of the fair value of the net assets will be revised by the Company as additional information is received.  </w:t>
      </w:r>
      <w:r w:rsidR="00E67F51">
        <w:rPr>
          <w:sz w:val="20"/>
          <w:szCs w:val="20"/>
        </w:rPr>
        <w:t>The Company has allocated the purchase price as follows:</w:t>
      </w:r>
    </w:p>
    <w:p w14:paraId="5B53870B" w14:textId="2E7092DB" w:rsidR="00E67F51" w:rsidRDefault="00E67F51" w:rsidP="00701647">
      <w:pPr>
        <w:ind w:left="284"/>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705"/>
      </w:tblGrid>
      <w:tr w:rsidR="00E67F51" w:rsidRPr="00701647" w14:paraId="020A72FA" w14:textId="77777777" w:rsidTr="00760411">
        <w:tc>
          <w:tcPr>
            <w:tcW w:w="7371" w:type="dxa"/>
            <w:tcBorders>
              <w:top w:val="double" w:sz="4" w:space="0" w:color="auto"/>
            </w:tcBorders>
          </w:tcPr>
          <w:p w14:paraId="7F861C5E" w14:textId="77777777" w:rsidR="00E67F51" w:rsidRPr="00701647" w:rsidRDefault="00E67F51" w:rsidP="00BA2C24">
            <w:pPr>
              <w:jc w:val="both"/>
              <w:rPr>
                <w:b/>
                <w:bCs/>
                <w:sz w:val="20"/>
                <w:szCs w:val="20"/>
              </w:rPr>
            </w:pPr>
            <w:r w:rsidRPr="00701647">
              <w:rPr>
                <w:b/>
                <w:bCs/>
                <w:sz w:val="20"/>
                <w:szCs w:val="20"/>
              </w:rPr>
              <w:t>Purchase price consideration</w:t>
            </w:r>
          </w:p>
        </w:tc>
        <w:tc>
          <w:tcPr>
            <w:tcW w:w="1705" w:type="dxa"/>
            <w:tcBorders>
              <w:top w:val="double" w:sz="4" w:space="0" w:color="auto"/>
            </w:tcBorders>
          </w:tcPr>
          <w:p w14:paraId="56FB4ECA" w14:textId="77777777" w:rsidR="00E67F51" w:rsidRPr="00701647" w:rsidRDefault="00E67F51" w:rsidP="00BA2C24">
            <w:pPr>
              <w:rPr>
                <w:sz w:val="20"/>
                <w:szCs w:val="20"/>
              </w:rPr>
            </w:pPr>
          </w:p>
        </w:tc>
      </w:tr>
      <w:tr w:rsidR="00E67F51" w:rsidRPr="00701647" w14:paraId="72FFBEA1" w14:textId="77777777" w:rsidTr="00760411">
        <w:tc>
          <w:tcPr>
            <w:tcW w:w="7371" w:type="dxa"/>
            <w:tcBorders>
              <w:bottom w:val="single" w:sz="4" w:space="0" w:color="auto"/>
            </w:tcBorders>
          </w:tcPr>
          <w:p w14:paraId="65E9A142" w14:textId="3F922300" w:rsidR="00E67F51" w:rsidRPr="00701647" w:rsidRDefault="009D226E" w:rsidP="00BA2C24">
            <w:pPr>
              <w:ind w:left="181"/>
              <w:jc w:val="both"/>
              <w:rPr>
                <w:sz w:val="20"/>
                <w:szCs w:val="20"/>
              </w:rPr>
            </w:pPr>
            <w:r>
              <w:rPr>
                <w:sz w:val="20"/>
                <w:szCs w:val="20"/>
              </w:rPr>
              <w:t xml:space="preserve">Consideration – cash </w:t>
            </w:r>
          </w:p>
        </w:tc>
        <w:tc>
          <w:tcPr>
            <w:tcW w:w="1705" w:type="dxa"/>
            <w:tcBorders>
              <w:bottom w:val="single" w:sz="4" w:space="0" w:color="auto"/>
            </w:tcBorders>
          </w:tcPr>
          <w:p w14:paraId="4EDC42E9" w14:textId="30E2CD13" w:rsidR="00E67F51" w:rsidRPr="00701647" w:rsidRDefault="00E67F51" w:rsidP="00BA2C24">
            <w:pPr>
              <w:tabs>
                <w:tab w:val="left" w:pos="0"/>
                <w:tab w:val="decimal" w:pos="1418"/>
              </w:tabs>
              <w:rPr>
                <w:sz w:val="20"/>
                <w:szCs w:val="20"/>
              </w:rPr>
            </w:pPr>
            <w:r w:rsidRPr="00701647">
              <w:rPr>
                <w:sz w:val="20"/>
                <w:szCs w:val="20"/>
              </w:rPr>
              <w:t>$</w:t>
            </w:r>
            <w:r w:rsidRPr="00701647">
              <w:rPr>
                <w:sz w:val="20"/>
                <w:szCs w:val="20"/>
              </w:rPr>
              <w:tab/>
            </w:r>
            <w:r>
              <w:rPr>
                <w:sz w:val="20"/>
                <w:szCs w:val="20"/>
              </w:rPr>
              <w:t>1,4</w:t>
            </w:r>
            <w:r w:rsidRPr="00701647">
              <w:rPr>
                <w:sz w:val="20"/>
                <w:szCs w:val="20"/>
              </w:rPr>
              <w:t>60,000</w:t>
            </w:r>
          </w:p>
        </w:tc>
      </w:tr>
      <w:tr w:rsidR="007403CA" w:rsidRPr="00701647" w14:paraId="3620B37E" w14:textId="77777777" w:rsidTr="00760411">
        <w:tc>
          <w:tcPr>
            <w:tcW w:w="7371" w:type="dxa"/>
            <w:tcBorders>
              <w:top w:val="single" w:sz="4" w:space="0" w:color="auto"/>
            </w:tcBorders>
          </w:tcPr>
          <w:p w14:paraId="6D333B4F" w14:textId="77777777" w:rsidR="007403CA" w:rsidRPr="00701647" w:rsidRDefault="007403CA" w:rsidP="00BA2C24">
            <w:pPr>
              <w:ind w:left="181"/>
              <w:jc w:val="both"/>
              <w:rPr>
                <w:sz w:val="20"/>
                <w:szCs w:val="20"/>
              </w:rPr>
            </w:pPr>
          </w:p>
        </w:tc>
        <w:tc>
          <w:tcPr>
            <w:tcW w:w="1705" w:type="dxa"/>
            <w:tcBorders>
              <w:top w:val="single" w:sz="4" w:space="0" w:color="auto"/>
            </w:tcBorders>
          </w:tcPr>
          <w:p w14:paraId="61773B09" w14:textId="77777777" w:rsidR="007403CA" w:rsidRPr="00701647" w:rsidRDefault="007403CA" w:rsidP="00BA2C24">
            <w:pPr>
              <w:tabs>
                <w:tab w:val="left" w:pos="0"/>
                <w:tab w:val="decimal" w:pos="1418"/>
              </w:tabs>
              <w:rPr>
                <w:sz w:val="20"/>
                <w:szCs w:val="20"/>
              </w:rPr>
            </w:pPr>
          </w:p>
        </w:tc>
      </w:tr>
      <w:tr w:rsidR="007403CA" w:rsidRPr="00701647" w14:paraId="0C13C0D1" w14:textId="77777777" w:rsidTr="00BA2C24">
        <w:tc>
          <w:tcPr>
            <w:tcW w:w="7371" w:type="dxa"/>
          </w:tcPr>
          <w:p w14:paraId="6575192A" w14:textId="77777777" w:rsidR="007403CA" w:rsidRPr="00701647" w:rsidRDefault="007403CA" w:rsidP="00BA2C24">
            <w:pPr>
              <w:ind w:left="181"/>
              <w:jc w:val="both"/>
              <w:rPr>
                <w:sz w:val="20"/>
                <w:szCs w:val="20"/>
              </w:rPr>
            </w:pPr>
            <w:r w:rsidRPr="00701647">
              <w:rPr>
                <w:sz w:val="20"/>
                <w:szCs w:val="20"/>
              </w:rPr>
              <w:t>Cash</w:t>
            </w:r>
          </w:p>
        </w:tc>
        <w:tc>
          <w:tcPr>
            <w:tcW w:w="1705" w:type="dxa"/>
          </w:tcPr>
          <w:p w14:paraId="58533B38" w14:textId="3365F368" w:rsidR="007403CA" w:rsidRPr="00701647" w:rsidRDefault="007403CA" w:rsidP="007403CA">
            <w:pPr>
              <w:tabs>
                <w:tab w:val="left" w:pos="0"/>
                <w:tab w:val="decimal" w:pos="1450"/>
              </w:tabs>
              <w:rPr>
                <w:sz w:val="20"/>
                <w:szCs w:val="20"/>
              </w:rPr>
            </w:pPr>
            <w:r w:rsidRPr="00701647">
              <w:rPr>
                <w:sz w:val="20"/>
                <w:szCs w:val="20"/>
              </w:rPr>
              <w:tab/>
            </w:r>
            <w:r>
              <w:rPr>
                <w:sz w:val="20"/>
                <w:szCs w:val="20"/>
              </w:rPr>
              <w:t>18,136</w:t>
            </w:r>
          </w:p>
        </w:tc>
      </w:tr>
      <w:tr w:rsidR="007403CA" w:rsidRPr="00701647" w14:paraId="2AA2B0E5" w14:textId="77777777" w:rsidTr="00BA2C24">
        <w:tc>
          <w:tcPr>
            <w:tcW w:w="7371" w:type="dxa"/>
          </w:tcPr>
          <w:p w14:paraId="43B36AB8" w14:textId="66DE415F" w:rsidR="007403CA" w:rsidRPr="00701647" w:rsidRDefault="007403CA" w:rsidP="00BA2C24">
            <w:pPr>
              <w:ind w:left="181"/>
              <w:jc w:val="both"/>
              <w:rPr>
                <w:sz w:val="20"/>
                <w:szCs w:val="20"/>
              </w:rPr>
            </w:pPr>
            <w:r>
              <w:rPr>
                <w:sz w:val="20"/>
                <w:szCs w:val="20"/>
              </w:rPr>
              <w:t>Accounts receivable and accrued receivables</w:t>
            </w:r>
          </w:p>
        </w:tc>
        <w:tc>
          <w:tcPr>
            <w:tcW w:w="1705" w:type="dxa"/>
          </w:tcPr>
          <w:p w14:paraId="5511E59E" w14:textId="100207BF" w:rsidR="007403CA" w:rsidRPr="00701647" w:rsidRDefault="007403CA" w:rsidP="007403CA">
            <w:pPr>
              <w:tabs>
                <w:tab w:val="left" w:pos="0"/>
                <w:tab w:val="decimal" w:pos="1450"/>
              </w:tabs>
              <w:rPr>
                <w:sz w:val="20"/>
                <w:szCs w:val="20"/>
              </w:rPr>
            </w:pPr>
            <w:r>
              <w:rPr>
                <w:sz w:val="20"/>
                <w:szCs w:val="20"/>
              </w:rPr>
              <w:tab/>
              <w:t>29,563</w:t>
            </w:r>
          </w:p>
        </w:tc>
      </w:tr>
      <w:tr w:rsidR="007403CA" w:rsidRPr="00701647" w14:paraId="16DEA309" w14:textId="77777777" w:rsidTr="00BA2C24">
        <w:tc>
          <w:tcPr>
            <w:tcW w:w="7371" w:type="dxa"/>
          </w:tcPr>
          <w:p w14:paraId="69A46B30" w14:textId="2B70E5D6" w:rsidR="007403CA" w:rsidRDefault="007403CA" w:rsidP="00BA2C24">
            <w:pPr>
              <w:ind w:left="181"/>
              <w:jc w:val="both"/>
              <w:rPr>
                <w:sz w:val="20"/>
                <w:szCs w:val="20"/>
              </w:rPr>
            </w:pPr>
            <w:r>
              <w:rPr>
                <w:sz w:val="20"/>
                <w:szCs w:val="20"/>
              </w:rPr>
              <w:t>Prepaid expenses and deposits</w:t>
            </w:r>
          </w:p>
        </w:tc>
        <w:tc>
          <w:tcPr>
            <w:tcW w:w="1705" w:type="dxa"/>
          </w:tcPr>
          <w:p w14:paraId="63B0F61D" w14:textId="63803EEB" w:rsidR="007403CA" w:rsidRDefault="007403CA" w:rsidP="007403CA">
            <w:pPr>
              <w:tabs>
                <w:tab w:val="left" w:pos="0"/>
                <w:tab w:val="decimal" w:pos="1450"/>
              </w:tabs>
              <w:rPr>
                <w:sz w:val="20"/>
                <w:szCs w:val="20"/>
              </w:rPr>
            </w:pPr>
            <w:r>
              <w:rPr>
                <w:sz w:val="20"/>
                <w:szCs w:val="20"/>
              </w:rPr>
              <w:tab/>
              <w:t>5,919</w:t>
            </w:r>
          </w:p>
        </w:tc>
      </w:tr>
      <w:tr w:rsidR="007403CA" w:rsidRPr="00701647" w14:paraId="01C85B95" w14:textId="77777777" w:rsidTr="00BA2C24">
        <w:tc>
          <w:tcPr>
            <w:tcW w:w="7371" w:type="dxa"/>
          </w:tcPr>
          <w:p w14:paraId="7BCBCB44" w14:textId="400FA71F" w:rsidR="007403CA" w:rsidRDefault="007403CA" w:rsidP="00BA2C24">
            <w:pPr>
              <w:ind w:left="181"/>
              <w:jc w:val="both"/>
              <w:rPr>
                <w:sz w:val="20"/>
                <w:szCs w:val="20"/>
              </w:rPr>
            </w:pPr>
            <w:r>
              <w:rPr>
                <w:sz w:val="20"/>
                <w:szCs w:val="20"/>
              </w:rPr>
              <w:t>Accounts payable</w:t>
            </w:r>
          </w:p>
        </w:tc>
        <w:tc>
          <w:tcPr>
            <w:tcW w:w="1705" w:type="dxa"/>
          </w:tcPr>
          <w:p w14:paraId="5441F7B2" w14:textId="287B4226" w:rsidR="007403CA" w:rsidRDefault="007403CA" w:rsidP="007403CA">
            <w:pPr>
              <w:tabs>
                <w:tab w:val="left" w:pos="0"/>
                <w:tab w:val="decimal" w:pos="1450"/>
              </w:tabs>
              <w:rPr>
                <w:sz w:val="20"/>
                <w:szCs w:val="20"/>
              </w:rPr>
            </w:pPr>
            <w:r>
              <w:rPr>
                <w:sz w:val="20"/>
                <w:szCs w:val="20"/>
              </w:rPr>
              <w:tab/>
            </w:r>
            <w:r w:rsidR="009D226E">
              <w:rPr>
                <w:sz w:val="20"/>
                <w:szCs w:val="20"/>
              </w:rPr>
              <w:t>(</w:t>
            </w:r>
            <w:r>
              <w:rPr>
                <w:sz w:val="20"/>
                <w:szCs w:val="20"/>
              </w:rPr>
              <w:t>18,743</w:t>
            </w:r>
            <w:r w:rsidR="009D226E">
              <w:rPr>
                <w:sz w:val="20"/>
                <w:szCs w:val="20"/>
              </w:rPr>
              <w:t>)</w:t>
            </w:r>
          </w:p>
        </w:tc>
      </w:tr>
      <w:tr w:rsidR="007403CA" w:rsidRPr="00701647" w14:paraId="74D6893C" w14:textId="77777777" w:rsidTr="00BA2C24">
        <w:tc>
          <w:tcPr>
            <w:tcW w:w="7371" w:type="dxa"/>
          </w:tcPr>
          <w:p w14:paraId="261632F6" w14:textId="788E0CDD" w:rsidR="007403CA" w:rsidRDefault="007403CA" w:rsidP="00BA2C24">
            <w:pPr>
              <w:ind w:left="181"/>
              <w:jc w:val="both"/>
              <w:rPr>
                <w:sz w:val="20"/>
                <w:szCs w:val="20"/>
              </w:rPr>
            </w:pPr>
            <w:r>
              <w:rPr>
                <w:sz w:val="20"/>
                <w:szCs w:val="20"/>
              </w:rPr>
              <w:t>Taxes payable</w:t>
            </w:r>
          </w:p>
        </w:tc>
        <w:tc>
          <w:tcPr>
            <w:tcW w:w="1705" w:type="dxa"/>
          </w:tcPr>
          <w:p w14:paraId="3CADDBD0" w14:textId="18293945" w:rsidR="007403CA" w:rsidRDefault="007403CA" w:rsidP="007403CA">
            <w:pPr>
              <w:tabs>
                <w:tab w:val="left" w:pos="0"/>
                <w:tab w:val="decimal" w:pos="1450"/>
              </w:tabs>
              <w:rPr>
                <w:sz w:val="20"/>
                <w:szCs w:val="20"/>
              </w:rPr>
            </w:pPr>
            <w:r>
              <w:rPr>
                <w:sz w:val="20"/>
                <w:szCs w:val="20"/>
              </w:rPr>
              <w:tab/>
            </w:r>
            <w:r w:rsidR="009D226E">
              <w:rPr>
                <w:sz w:val="20"/>
                <w:szCs w:val="20"/>
              </w:rPr>
              <w:t>(</w:t>
            </w:r>
            <w:r>
              <w:rPr>
                <w:sz w:val="20"/>
                <w:szCs w:val="20"/>
              </w:rPr>
              <w:t>7,497</w:t>
            </w:r>
            <w:r w:rsidR="009D226E">
              <w:rPr>
                <w:sz w:val="20"/>
                <w:szCs w:val="20"/>
              </w:rPr>
              <w:t>)</w:t>
            </w:r>
          </w:p>
        </w:tc>
      </w:tr>
      <w:tr w:rsidR="007403CA" w:rsidRPr="00701647" w14:paraId="4B454A60" w14:textId="77777777" w:rsidTr="00760411">
        <w:tc>
          <w:tcPr>
            <w:tcW w:w="7371" w:type="dxa"/>
          </w:tcPr>
          <w:p w14:paraId="42D0B25E" w14:textId="3D322D35" w:rsidR="007403CA" w:rsidRDefault="007403CA" w:rsidP="00BA2C24">
            <w:pPr>
              <w:ind w:left="181"/>
              <w:jc w:val="both"/>
              <w:rPr>
                <w:sz w:val="20"/>
                <w:szCs w:val="20"/>
              </w:rPr>
            </w:pPr>
            <w:r>
              <w:rPr>
                <w:sz w:val="20"/>
                <w:szCs w:val="20"/>
              </w:rPr>
              <w:t>Loan payable</w:t>
            </w:r>
          </w:p>
        </w:tc>
        <w:tc>
          <w:tcPr>
            <w:tcW w:w="1705" w:type="dxa"/>
          </w:tcPr>
          <w:p w14:paraId="5B579D95" w14:textId="4F5A678B" w:rsidR="007403CA" w:rsidRDefault="007403CA" w:rsidP="007403CA">
            <w:pPr>
              <w:tabs>
                <w:tab w:val="left" w:pos="0"/>
                <w:tab w:val="decimal" w:pos="1450"/>
              </w:tabs>
              <w:rPr>
                <w:sz w:val="20"/>
                <w:szCs w:val="20"/>
              </w:rPr>
            </w:pPr>
            <w:r>
              <w:rPr>
                <w:sz w:val="20"/>
                <w:szCs w:val="20"/>
              </w:rPr>
              <w:tab/>
            </w:r>
            <w:r w:rsidR="009D226E">
              <w:rPr>
                <w:sz w:val="20"/>
                <w:szCs w:val="20"/>
              </w:rPr>
              <w:t>(</w:t>
            </w:r>
            <w:r>
              <w:rPr>
                <w:sz w:val="20"/>
                <w:szCs w:val="20"/>
              </w:rPr>
              <w:t>30,000</w:t>
            </w:r>
            <w:r w:rsidR="009D226E">
              <w:rPr>
                <w:sz w:val="20"/>
                <w:szCs w:val="20"/>
              </w:rPr>
              <w:t>)</w:t>
            </w:r>
          </w:p>
        </w:tc>
      </w:tr>
      <w:tr w:rsidR="009D226E" w:rsidRPr="00701647" w14:paraId="6E26E2A9" w14:textId="77777777" w:rsidTr="00760411">
        <w:tc>
          <w:tcPr>
            <w:tcW w:w="7371" w:type="dxa"/>
          </w:tcPr>
          <w:p w14:paraId="238464AC" w14:textId="64559808" w:rsidR="009D226E" w:rsidRPr="00701647" w:rsidRDefault="009D226E" w:rsidP="009D226E">
            <w:pPr>
              <w:ind w:left="181"/>
              <w:jc w:val="both"/>
              <w:rPr>
                <w:sz w:val="20"/>
                <w:szCs w:val="20"/>
              </w:rPr>
            </w:pPr>
            <w:r w:rsidRPr="009D226E">
              <w:rPr>
                <w:sz w:val="20"/>
                <w:szCs w:val="20"/>
              </w:rPr>
              <w:t>Unallocated purchase price</w:t>
            </w:r>
          </w:p>
        </w:tc>
        <w:tc>
          <w:tcPr>
            <w:tcW w:w="1705" w:type="dxa"/>
          </w:tcPr>
          <w:p w14:paraId="2916E39E" w14:textId="42B64D5D" w:rsidR="009D226E" w:rsidRPr="00701647" w:rsidRDefault="009D226E" w:rsidP="00760411">
            <w:pPr>
              <w:tabs>
                <w:tab w:val="decimal" w:pos="1418"/>
              </w:tabs>
              <w:jc w:val="center"/>
              <w:rPr>
                <w:sz w:val="20"/>
                <w:szCs w:val="20"/>
              </w:rPr>
            </w:pPr>
            <w:r w:rsidRPr="002064A4">
              <w:rPr>
                <w:sz w:val="20"/>
                <w:szCs w:val="20"/>
              </w:rPr>
              <w:t>1,462,622</w:t>
            </w:r>
          </w:p>
        </w:tc>
      </w:tr>
      <w:tr w:rsidR="00E67F51" w:rsidRPr="00701647" w14:paraId="49DEB5E2" w14:textId="77777777" w:rsidTr="00760411">
        <w:tc>
          <w:tcPr>
            <w:tcW w:w="7371" w:type="dxa"/>
            <w:tcBorders>
              <w:top w:val="single" w:sz="4" w:space="0" w:color="auto"/>
              <w:bottom w:val="double" w:sz="4" w:space="0" w:color="auto"/>
            </w:tcBorders>
          </w:tcPr>
          <w:p w14:paraId="31EBA5A4" w14:textId="77777777" w:rsidR="00E67F51" w:rsidRPr="00701647" w:rsidRDefault="00E67F51" w:rsidP="00BA2C24">
            <w:pPr>
              <w:jc w:val="both"/>
              <w:rPr>
                <w:sz w:val="20"/>
                <w:szCs w:val="20"/>
              </w:rPr>
            </w:pPr>
          </w:p>
        </w:tc>
        <w:tc>
          <w:tcPr>
            <w:tcW w:w="1705" w:type="dxa"/>
            <w:tcBorders>
              <w:top w:val="single" w:sz="4" w:space="0" w:color="auto"/>
              <w:bottom w:val="double" w:sz="4" w:space="0" w:color="auto"/>
            </w:tcBorders>
          </w:tcPr>
          <w:p w14:paraId="383E520E" w14:textId="7BA18922" w:rsidR="00E67F51" w:rsidRPr="00701647" w:rsidRDefault="00E67F51" w:rsidP="00760411">
            <w:pPr>
              <w:tabs>
                <w:tab w:val="left" w:pos="0"/>
                <w:tab w:val="decimal" w:pos="1418"/>
              </w:tabs>
              <w:jc w:val="center"/>
              <w:rPr>
                <w:sz w:val="20"/>
                <w:szCs w:val="20"/>
              </w:rPr>
            </w:pPr>
            <w:r w:rsidRPr="00701647">
              <w:rPr>
                <w:sz w:val="20"/>
                <w:szCs w:val="20"/>
              </w:rPr>
              <w:t>$</w:t>
            </w:r>
            <w:r w:rsidRPr="00701647">
              <w:rPr>
                <w:sz w:val="20"/>
                <w:szCs w:val="20"/>
              </w:rPr>
              <w:tab/>
            </w:r>
            <w:r w:rsidR="009D226E">
              <w:rPr>
                <w:sz w:val="20"/>
                <w:szCs w:val="20"/>
              </w:rPr>
              <w:t xml:space="preserve">  </w:t>
            </w:r>
            <w:r>
              <w:rPr>
                <w:sz w:val="20"/>
                <w:szCs w:val="20"/>
              </w:rPr>
              <w:t>1,4</w:t>
            </w:r>
            <w:r w:rsidRPr="00701647">
              <w:rPr>
                <w:sz w:val="20"/>
                <w:szCs w:val="20"/>
              </w:rPr>
              <w:t>60,000</w:t>
            </w:r>
          </w:p>
        </w:tc>
      </w:tr>
    </w:tbl>
    <w:p w14:paraId="2FBE9794" w14:textId="2547CB67" w:rsidR="00E67F51" w:rsidRDefault="00E67F51" w:rsidP="00701647">
      <w:pPr>
        <w:ind w:left="284"/>
        <w:rPr>
          <w:sz w:val="20"/>
          <w:szCs w:val="20"/>
        </w:rPr>
      </w:pPr>
    </w:p>
    <w:p w14:paraId="4E52FB25" w14:textId="77777777" w:rsidR="009D226E" w:rsidRDefault="009D226E" w:rsidP="00701647">
      <w:pPr>
        <w:ind w:left="284"/>
        <w:rPr>
          <w:sz w:val="20"/>
          <w:szCs w:val="20"/>
        </w:rPr>
      </w:pPr>
    </w:p>
    <w:p w14:paraId="66AD0773" w14:textId="77777777" w:rsidR="004A4F7A" w:rsidRPr="00EC39C7" w:rsidRDefault="004A4F7A" w:rsidP="005C6969">
      <w:pPr>
        <w:pStyle w:val="ListParagraph"/>
        <w:numPr>
          <w:ilvl w:val="0"/>
          <w:numId w:val="10"/>
        </w:numPr>
        <w:ind w:left="284"/>
        <w:rPr>
          <w:b/>
          <w:bCs/>
          <w:sz w:val="20"/>
          <w:szCs w:val="20"/>
        </w:rPr>
      </w:pPr>
      <w:r w:rsidRPr="00EC39C7">
        <w:rPr>
          <w:b/>
          <w:bCs/>
          <w:sz w:val="20"/>
          <w:szCs w:val="20"/>
        </w:rPr>
        <w:t>LOANS RECEIVABLE</w:t>
      </w:r>
    </w:p>
    <w:p w14:paraId="1703B539" w14:textId="77777777" w:rsidR="004A4F7A" w:rsidRPr="00EC39C7" w:rsidRDefault="004A4F7A" w:rsidP="004A4F7A">
      <w:pPr>
        <w:jc w:val="both"/>
        <w:rPr>
          <w:b/>
          <w:bCs/>
          <w:sz w:val="20"/>
          <w:szCs w:val="20"/>
        </w:rPr>
      </w:pPr>
    </w:p>
    <w:p w14:paraId="5B2B1537" w14:textId="77777777" w:rsidR="00B545BF" w:rsidRPr="00EC39C7" w:rsidRDefault="00B545BF" w:rsidP="00B545BF">
      <w:pPr>
        <w:ind w:left="284"/>
        <w:jc w:val="both"/>
        <w:rPr>
          <w:sz w:val="20"/>
          <w:szCs w:val="20"/>
        </w:rPr>
      </w:pPr>
      <w:r w:rsidRPr="00EC39C7">
        <w:rPr>
          <w:sz w:val="20"/>
          <w:szCs w:val="20"/>
        </w:rPr>
        <w:t xml:space="preserve">The Company provides loans to consumer debtors who meet the Company’s evaluation criteria and who will use the borrowed funds to settle debts under formal or informal debt restructuring plans agreed upon by the creditors of the consumer debtors.  </w:t>
      </w:r>
      <w:proofErr w:type="gramStart"/>
      <w:r w:rsidRPr="00EC39C7">
        <w:rPr>
          <w:sz w:val="20"/>
          <w:szCs w:val="20"/>
        </w:rPr>
        <w:t>The majority of</w:t>
      </w:r>
      <w:proofErr w:type="gramEnd"/>
      <w:r w:rsidRPr="00EC39C7">
        <w:rPr>
          <w:sz w:val="20"/>
          <w:szCs w:val="20"/>
        </w:rPr>
        <w:t xml:space="preserve"> the loans issued to consumer debtors are unsecured.  The loans receivable generally bear interest between 18.99% and 24.99% and mature between three and seven years from the date of issuance. </w:t>
      </w:r>
    </w:p>
    <w:p w14:paraId="1ED9D67E" w14:textId="77777777" w:rsidR="00B545BF" w:rsidRPr="0007463E" w:rsidRDefault="00B545BF" w:rsidP="00B545BF">
      <w:pPr>
        <w:ind w:left="284"/>
        <w:jc w:val="both"/>
        <w:rPr>
          <w:sz w:val="20"/>
          <w:szCs w:val="20"/>
          <w:highlight w:val="yellow"/>
        </w:rPr>
      </w:pPr>
    </w:p>
    <w:p w14:paraId="26066EC0" w14:textId="77777777" w:rsidR="00B545BF" w:rsidRPr="00EC39C7" w:rsidRDefault="00B545BF" w:rsidP="00B545BF">
      <w:pPr>
        <w:ind w:left="284"/>
        <w:jc w:val="both"/>
        <w:rPr>
          <w:sz w:val="20"/>
          <w:szCs w:val="20"/>
        </w:rPr>
      </w:pPr>
      <w:r w:rsidRPr="00EC39C7">
        <w:rPr>
          <w:b/>
          <w:bCs/>
          <w:sz w:val="20"/>
          <w:szCs w:val="20"/>
        </w:rPr>
        <w:t>Loans receivable and interest receivable</w:t>
      </w:r>
    </w:p>
    <w:p w14:paraId="5FD38075" w14:textId="77777777" w:rsidR="00B545BF" w:rsidRPr="00EC39C7" w:rsidRDefault="00B545BF" w:rsidP="00B545BF">
      <w:pPr>
        <w:ind w:left="284"/>
        <w:jc w:val="both"/>
        <w:rPr>
          <w:sz w:val="20"/>
          <w:szCs w:val="20"/>
        </w:rPr>
      </w:pPr>
    </w:p>
    <w:tbl>
      <w:tblPr>
        <w:tblStyle w:val="TableGrid"/>
        <w:tblW w:w="9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B545BF" w:rsidRPr="00EC39C7" w14:paraId="3914A22F" w14:textId="77777777" w:rsidTr="00B545BF">
        <w:tc>
          <w:tcPr>
            <w:tcW w:w="6090" w:type="dxa"/>
            <w:tcBorders>
              <w:top w:val="double" w:sz="4" w:space="0" w:color="auto"/>
              <w:bottom w:val="single" w:sz="4" w:space="0" w:color="auto"/>
            </w:tcBorders>
          </w:tcPr>
          <w:p w14:paraId="4FF3F7FF" w14:textId="77777777" w:rsidR="00B545BF" w:rsidRPr="00EC39C7" w:rsidRDefault="00B545BF" w:rsidP="00B545BF">
            <w:pPr>
              <w:rPr>
                <w:sz w:val="20"/>
                <w:szCs w:val="20"/>
              </w:rPr>
            </w:pPr>
            <w:bookmarkStart w:id="5" w:name="_Hlk17806628"/>
          </w:p>
        </w:tc>
        <w:tc>
          <w:tcPr>
            <w:tcW w:w="1488" w:type="dxa"/>
            <w:tcBorders>
              <w:top w:val="double" w:sz="4" w:space="0" w:color="auto"/>
              <w:bottom w:val="single" w:sz="4" w:space="0" w:color="auto"/>
            </w:tcBorders>
          </w:tcPr>
          <w:p w14:paraId="5D7DD644" w14:textId="106CBDF0" w:rsidR="00B545BF" w:rsidRPr="00EC39C7" w:rsidRDefault="00C117D6" w:rsidP="00B545BF">
            <w:pPr>
              <w:tabs>
                <w:tab w:val="decimal" w:pos="1202"/>
              </w:tabs>
              <w:rPr>
                <w:b/>
                <w:bCs/>
                <w:sz w:val="20"/>
                <w:szCs w:val="20"/>
              </w:rPr>
            </w:pPr>
            <w:r w:rsidRPr="00EC39C7">
              <w:rPr>
                <w:b/>
                <w:bCs/>
                <w:sz w:val="20"/>
                <w:szCs w:val="20"/>
              </w:rPr>
              <w:t>June 30</w:t>
            </w:r>
            <w:r w:rsidR="00B545BF" w:rsidRPr="00EC39C7">
              <w:rPr>
                <w:b/>
                <w:bCs/>
                <w:sz w:val="20"/>
                <w:szCs w:val="20"/>
              </w:rPr>
              <w:t>,</w:t>
            </w:r>
          </w:p>
          <w:p w14:paraId="3F91C65F" w14:textId="1CDCA663" w:rsidR="00B545BF" w:rsidRPr="00EC39C7" w:rsidRDefault="00B545BF" w:rsidP="00B545BF">
            <w:pPr>
              <w:tabs>
                <w:tab w:val="decimal" w:pos="1202"/>
              </w:tabs>
              <w:rPr>
                <w:b/>
                <w:bCs/>
                <w:sz w:val="20"/>
                <w:szCs w:val="20"/>
              </w:rPr>
            </w:pPr>
            <w:r w:rsidRPr="00EC39C7">
              <w:rPr>
                <w:b/>
                <w:bCs/>
                <w:sz w:val="20"/>
                <w:szCs w:val="20"/>
              </w:rPr>
              <w:t xml:space="preserve"> 2021</w:t>
            </w:r>
          </w:p>
        </w:tc>
        <w:tc>
          <w:tcPr>
            <w:tcW w:w="1488" w:type="dxa"/>
            <w:tcBorders>
              <w:top w:val="double" w:sz="4" w:space="0" w:color="auto"/>
              <w:bottom w:val="single" w:sz="4" w:space="0" w:color="auto"/>
            </w:tcBorders>
          </w:tcPr>
          <w:p w14:paraId="2C10FFF1" w14:textId="77777777" w:rsidR="00B545BF" w:rsidRPr="00EC39C7" w:rsidRDefault="00B545BF" w:rsidP="00B545BF">
            <w:pPr>
              <w:tabs>
                <w:tab w:val="decimal" w:pos="1202"/>
              </w:tabs>
              <w:rPr>
                <w:b/>
                <w:bCs/>
                <w:sz w:val="20"/>
                <w:szCs w:val="20"/>
              </w:rPr>
            </w:pPr>
            <w:r w:rsidRPr="00EC39C7">
              <w:rPr>
                <w:b/>
                <w:bCs/>
                <w:sz w:val="20"/>
                <w:szCs w:val="20"/>
              </w:rPr>
              <w:t>December 31,</w:t>
            </w:r>
          </w:p>
          <w:p w14:paraId="63027591" w14:textId="23379479" w:rsidR="00B545BF" w:rsidRPr="00EC39C7" w:rsidRDefault="00B545BF" w:rsidP="00B545BF">
            <w:pPr>
              <w:tabs>
                <w:tab w:val="decimal" w:pos="1202"/>
              </w:tabs>
              <w:rPr>
                <w:b/>
                <w:bCs/>
                <w:sz w:val="20"/>
                <w:szCs w:val="20"/>
              </w:rPr>
            </w:pPr>
            <w:r w:rsidRPr="00EC39C7">
              <w:rPr>
                <w:b/>
                <w:bCs/>
                <w:sz w:val="20"/>
                <w:szCs w:val="20"/>
              </w:rPr>
              <w:t xml:space="preserve"> 2020</w:t>
            </w:r>
          </w:p>
        </w:tc>
      </w:tr>
      <w:tr w:rsidR="00B545BF" w:rsidRPr="00EC39C7" w14:paraId="56DDC957" w14:textId="77777777" w:rsidTr="00B545BF">
        <w:tc>
          <w:tcPr>
            <w:tcW w:w="6090" w:type="dxa"/>
            <w:tcBorders>
              <w:top w:val="single" w:sz="4" w:space="0" w:color="auto"/>
            </w:tcBorders>
          </w:tcPr>
          <w:p w14:paraId="679EA86F" w14:textId="77777777" w:rsidR="00B545BF" w:rsidRPr="00EC39C7" w:rsidRDefault="00B545BF" w:rsidP="00B545BF">
            <w:pPr>
              <w:rPr>
                <w:sz w:val="20"/>
                <w:szCs w:val="20"/>
              </w:rPr>
            </w:pPr>
            <w:r w:rsidRPr="00EC39C7">
              <w:rPr>
                <w:sz w:val="20"/>
                <w:szCs w:val="20"/>
              </w:rPr>
              <w:t>Unsecured personal loans</w:t>
            </w:r>
          </w:p>
        </w:tc>
        <w:tc>
          <w:tcPr>
            <w:tcW w:w="1488" w:type="dxa"/>
            <w:tcBorders>
              <w:top w:val="single" w:sz="4" w:space="0" w:color="auto"/>
            </w:tcBorders>
            <w:shd w:val="clear" w:color="auto" w:fill="auto"/>
          </w:tcPr>
          <w:p w14:paraId="4CB08F7A" w14:textId="3F3716DE"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r>
            <w:r w:rsidR="00EC39C7" w:rsidRPr="00EC39C7">
              <w:rPr>
                <w:sz w:val="20"/>
                <w:szCs w:val="20"/>
              </w:rPr>
              <w:t>1,774,241</w:t>
            </w:r>
            <w:r w:rsidRPr="00EC39C7">
              <w:rPr>
                <w:sz w:val="20"/>
                <w:szCs w:val="20"/>
              </w:rPr>
              <w:t xml:space="preserve"> </w:t>
            </w:r>
          </w:p>
        </w:tc>
        <w:tc>
          <w:tcPr>
            <w:tcW w:w="1488" w:type="dxa"/>
            <w:tcBorders>
              <w:top w:val="single" w:sz="4" w:space="0" w:color="auto"/>
            </w:tcBorders>
          </w:tcPr>
          <w:p w14:paraId="70E31B87" w14:textId="2647AA38"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t xml:space="preserve">2,469,131 </w:t>
            </w:r>
          </w:p>
        </w:tc>
      </w:tr>
      <w:tr w:rsidR="00B545BF" w:rsidRPr="00EC39C7" w14:paraId="4F8167AB" w14:textId="77777777" w:rsidTr="00B545BF">
        <w:tc>
          <w:tcPr>
            <w:tcW w:w="6090" w:type="dxa"/>
          </w:tcPr>
          <w:p w14:paraId="1581EF0B" w14:textId="77777777" w:rsidR="00B545BF" w:rsidRPr="00EC39C7" w:rsidRDefault="00B545BF" w:rsidP="00B545BF">
            <w:pPr>
              <w:rPr>
                <w:sz w:val="20"/>
                <w:szCs w:val="20"/>
              </w:rPr>
            </w:pPr>
            <w:r w:rsidRPr="00EC39C7">
              <w:rPr>
                <w:sz w:val="20"/>
                <w:szCs w:val="20"/>
              </w:rPr>
              <w:t>Mortgages</w:t>
            </w:r>
          </w:p>
        </w:tc>
        <w:tc>
          <w:tcPr>
            <w:tcW w:w="1488" w:type="dxa"/>
            <w:shd w:val="clear" w:color="auto" w:fill="auto"/>
          </w:tcPr>
          <w:p w14:paraId="34BC23B5" w14:textId="0860311E" w:rsidR="00B545BF" w:rsidRPr="00EC39C7" w:rsidRDefault="00EC39C7" w:rsidP="00B545BF">
            <w:pPr>
              <w:tabs>
                <w:tab w:val="decimal" w:pos="1202"/>
              </w:tabs>
              <w:rPr>
                <w:sz w:val="20"/>
                <w:szCs w:val="20"/>
              </w:rPr>
            </w:pPr>
            <w:r w:rsidRPr="00EC39C7">
              <w:rPr>
                <w:sz w:val="20"/>
                <w:szCs w:val="20"/>
              </w:rPr>
              <w:t>4,999</w:t>
            </w:r>
          </w:p>
        </w:tc>
        <w:tc>
          <w:tcPr>
            <w:tcW w:w="1488" w:type="dxa"/>
          </w:tcPr>
          <w:p w14:paraId="55AE75B4" w14:textId="2659EC07" w:rsidR="00B545BF" w:rsidRPr="00EC39C7" w:rsidRDefault="00B545BF" w:rsidP="00B545BF">
            <w:pPr>
              <w:tabs>
                <w:tab w:val="decimal" w:pos="1202"/>
              </w:tabs>
              <w:rPr>
                <w:sz w:val="20"/>
                <w:szCs w:val="20"/>
              </w:rPr>
            </w:pPr>
            <w:r w:rsidRPr="00EC39C7">
              <w:rPr>
                <w:sz w:val="20"/>
                <w:szCs w:val="20"/>
              </w:rPr>
              <w:t>8,747</w:t>
            </w:r>
          </w:p>
        </w:tc>
      </w:tr>
      <w:tr w:rsidR="00B545BF" w:rsidRPr="00EC39C7" w14:paraId="7CB6DE10" w14:textId="77777777" w:rsidTr="00B545BF">
        <w:tc>
          <w:tcPr>
            <w:tcW w:w="6090" w:type="dxa"/>
            <w:tcBorders>
              <w:bottom w:val="single" w:sz="4" w:space="0" w:color="auto"/>
            </w:tcBorders>
          </w:tcPr>
          <w:p w14:paraId="3272FA3E" w14:textId="77777777" w:rsidR="00B545BF" w:rsidRPr="00EC39C7" w:rsidRDefault="00B545BF" w:rsidP="00B545BF">
            <w:pPr>
              <w:rPr>
                <w:sz w:val="20"/>
                <w:szCs w:val="20"/>
              </w:rPr>
            </w:pPr>
            <w:r w:rsidRPr="00EC39C7">
              <w:rPr>
                <w:sz w:val="20"/>
                <w:szCs w:val="20"/>
              </w:rPr>
              <w:t>Less: allowance for loan impairment</w:t>
            </w:r>
          </w:p>
        </w:tc>
        <w:tc>
          <w:tcPr>
            <w:tcW w:w="1488" w:type="dxa"/>
            <w:tcBorders>
              <w:bottom w:val="single" w:sz="4" w:space="0" w:color="auto"/>
            </w:tcBorders>
            <w:shd w:val="clear" w:color="auto" w:fill="auto"/>
          </w:tcPr>
          <w:p w14:paraId="7FF6DE4F" w14:textId="78ADB9A3" w:rsidR="00B545BF" w:rsidRPr="00EC39C7" w:rsidRDefault="00B545BF" w:rsidP="00B545BF">
            <w:pPr>
              <w:tabs>
                <w:tab w:val="decimal" w:pos="1202"/>
              </w:tabs>
              <w:rPr>
                <w:sz w:val="20"/>
                <w:szCs w:val="20"/>
              </w:rPr>
            </w:pPr>
            <w:r w:rsidRPr="00EC39C7">
              <w:rPr>
                <w:sz w:val="20"/>
                <w:szCs w:val="20"/>
              </w:rPr>
              <w:t>(</w:t>
            </w:r>
            <w:r w:rsidR="00EC39C7" w:rsidRPr="00EC39C7">
              <w:rPr>
                <w:sz w:val="20"/>
                <w:szCs w:val="20"/>
              </w:rPr>
              <w:t>99,252</w:t>
            </w:r>
            <w:r w:rsidRPr="00EC39C7">
              <w:rPr>
                <w:sz w:val="20"/>
                <w:szCs w:val="20"/>
              </w:rPr>
              <w:t>)</w:t>
            </w:r>
          </w:p>
        </w:tc>
        <w:tc>
          <w:tcPr>
            <w:tcW w:w="1488" w:type="dxa"/>
            <w:tcBorders>
              <w:bottom w:val="single" w:sz="4" w:space="0" w:color="auto"/>
            </w:tcBorders>
          </w:tcPr>
          <w:p w14:paraId="413CB5F5" w14:textId="62C09F88" w:rsidR="00B545BF" w:rsidRPr="00EC39C7" w:rsidRDefault="00B545BF" w:rsidP="00B545BF">
            <w:pPr>
              <w:tabs>
                <w:tab w:val="decimal" w:pos="1202"/>
              </w:tabs>
              <w:rPr>
                <w:sz w:val="20"/>
                <w:szCs w:val="20"/>
              </w:rPr>
            </w:pPr>
            <w:r w:rsidRPr="00EC39C7">
              <w:rPr>
                <w:sz w:val="20"/>
                <w:szCs w:val="20"/>
              </w:rPr>
              <w:t>(220,000)</w:t>
            </w:r>
          </w:p>
        </w:tc>
      </w:tr>
      <w:tr w:rsidR="00B545BF" w:rsidRPr="00EC39C7" w14:paraId="1F098D1E" w14:textId="77777777" w:rsidTr="00B545BF">
        <w:tc>
          <w:tcPr>
            <w:tcW w:w="6090" w:type="dxa"/>
            <w:tcBorders>
              <w:top w:val="single" w:sz="4" w:space="0" w:color="auto"/>
            </w:tcBorders>
          </w:tcPr>
          <w:p w14:paraId="0E720234" w14:textId="77777777" w:rsidR="00B545BF" w:rsidRPr="00EC39C7" w:rsidRDefault="00B545BF" w:rsidP="00B545BF">
            <w:pPr>
              <w:rPr>
                <w:sz w:val="20"/>
                <w:szCs w:val="20"/>
              </w:rPr>
            </w:pPr>
            <w:r w:rsidRPr="00EC39C7">
              <w:rPr>
                <w:sz w:val="20"/>
                <w:szCs w:val="20"/>
              </w:rPr>
              <w:t>Total loans and interest receivable, net of allowance for loan impairment</w:t>
            </w:r>
          </w:p>
        </w:tc>
        <w:tc>
          <w:tcPr>
            <w:tcW w:w="1488" w:type="dxa"/>
            <w:tcBorders>
              <w:top w:val="single" w:sz="4" w:space="0" w:color="auto"/>
            </w:tcBorders>
            <w:shd w:val="clear" w:color="auto" w:fill="auto"/>
          </w:tcPr>
          <w:p w14:paraId="46CB3811" w14:textId="2226D2A7" w:rsidR="00B545BF" w:rsidRPr="00EC39C7" w:rsidRDefault="00B545BF" w:rsidP="00B545BF">
            <w:pPr>
              <w:tabs>
                <w:tab w:val="left" w:pos="0"/>
                <w:tab w:val="decimal" w:pos="1202"/>
              </w:tabs>
              <w:rPr>
                <w:sz w:val="20"/>
                <w:szCs w:val="20"/>
              </w:rPr>
            </w:pPr>
            <w:r w:rsidRPr="00EC39C7">
              <w:rPr>
                <w:sz w:val="20"/>
                <w:szCs w:val="20"/>
              </w:rPr>
              <w:tab/>
            </w:r>
            <w:r w:rsidR="009474AA">
              <w:rPr>
                <w:sz w:val="20"/>
                <w:szCs w:val="20"/>
              </w:rPr>
              <w:t>1,679,988</w:t>
            </w:r>
          </w:p>
        </w:tc>
        <w:tc>
          <w:tcPr>
            <w:tcW w:w="1488" w:type="dxa"/>
            <w:tcBorders>
              <w:top w:val="single" w:sz="4" w:space="0" w:color="auto"/>
            </w:tcBorders>
          </w:tcPr>
          <w:p w14:paraId="6B780D0C" w14:textId="12B52031" w:rsidR="00B545BF" w:rsidRPr="00EC39C7" w:rsidRDefault="00B545BF" w:rsidP="00B545BF">
            <w:pPr>
              <w:tabs>
                <w:tab w:val="left" w:pos="0"/>
                <w:tab w:val="decimal" w:pos="1202"/>
              </w:tabs>
              <w:rPr>
                <w:sz w:val="20"/>
                <w:szCs w:val="20"/>
              </w:rPr>
            </w:pPr>
            <w:r w:rsidRPr="00EC39C7">
              <w:rPr>
                <w:sz w:val="20"/>
                <w:szCs w:val="20"/>
              </w:rPr>
              <w:tab/>
              <w:t>2,257,878</w:t>
            </w:r>
          </w:p>
        </w:tc>
      </w:tr>
      <w:tr w:rsidR="00B545BF" w:rsidRPr="00EC39C7" w14:paraId="7B473902" w14:textId="77777777" w:rsidTr="00B545BF">
        <w:tc>
          <w:tcPr>
            <w:tcW w:w="6090" w:type="dxa"/>
          </w:tcPr>
          <w:p w14:paraId="4C7784B3" w14:textId="77777777" w:rsidR="00B545BF" w:rsidRPr="00EC39C7" w:rsidRDefault="00B545BF" w:rsidP="00B545BF">
            <w:pPr>
              <w:rPr>
                <w:sz w:val="20"/>
                <w:szCs w:val="20"/>
              </w:rPr>
            </w:pPr>
            <w:r w:rsidRPr="00EC39C7">
              <w:rPr>
                <w:sz w:val="20"/>
                <w:szCs w:val="20"/>
              </w:rPr>
              <w:t>Interest receivable</w:t>
            </w:r>
          </w:p>
        </w:tc>
        <w:tc>
          <w:tcPr>
            <w:tcW w:w="1488" w:type="dxa"/>
            <w:shd w:val="clear" w:color="auto" w:fill="auto"/>
          </w:tcPr>
          <w:p w14:paraId="202AA7D6" w14:textId="7BDE8A5E" w:rsidR="00B545BF" w:rsidRPr="00EC39C7" w:rsidRDefault="00B545BF" w:rsidP="00B545BF">
            <w:pPr>
              <w:tabs>
                <w:tab w:val="left" w:pos="0"/>
                <w:tab w:val="decimal" w:pos="1202"/>
              </w:tabs>
              <w:rPr>
                <w:sz w:val="20"/>
                <w:szCs w:val="20"/>
              </w:rPr>
            </w:pPr>
            <w:r w:rsidRPr="00EC39C7">
              <w:rPr>
                <w:sz w:val="20"/>
                <w:szCs w:val="20"/>
              </w:rPr>
              <w:tab/>
              <w:t>(</w:t>
            </w:r>
            <w:r w:rsidR="00EC39C7" w:rsidRPr="00EC39C7">
              <w:rPr>
                <w:sz w:val="20"/>
                <w:szCs w:val="20"/>
              </w:rPr>
              <w:t>49,075</w:t>
            </w:r>
            <w:r w:rsidRPr="00EC39C7">
              <w:rPr>
                <w:sz w:val="20"/>
                <w:szCs w:val="20"/>
              </w:rPr>
              <w:t>)</w:t>
            </w:r>
          </w:p>
        </w:tc>
        <w:tc>
          <w:tcPr>
            <w:tcW w:w="1488" w:type="dxa"/>
          </w:tcPr>
          <w:p w14:paraId="530E0C07" w14:textId="49A0ADF9" w:rsidR="00B545BF" w:rsidRPr="00EC39C7" w:rsidRDefault="00B545BF" w:rsidP="00B545BF">
            <w:pPr>
              <w:tabs>
                <w:tab w:val="left" w:pos="0"/>
                <w:tab w:val="decimal" w:pos="1202"/>
              </w:tabs>
              <w:rPr>
                <w:sz w:val="20"/>
                <w:szCs w:val="20"/>
              </w:rPr>
            </w:pPr>
            <w:r w:rsidRPr="00EC39C7">
              <w:rPr>
                <w:sz w:val="20"/>
                <w:szCs w:val="20"/>
              </w:rPr>
              <w:tab/>
              <w:t>(36,034)</w:t>
            </w:r>
          </w:p>
        </w:tc>
      </w:tr>
      <w:tr w:rsidR="00B545BF" w:rsidRPr="00EC39C7" w14:paraId="12DA360E" w14:textId="77777777" w:rsidTr="00B545BF">
        <w:tc>
          <w:tcPr>
            <w:tcW w:w="6090" w:type="dxa"/>
            <w:tcBorders>
              <w:bottom w:val="single" w:sz="4" w:space="0" w:color="auto"/>
            </w:tcBorders>
          </w:tcPr>
          <w:p w14:paraId="7662F2CA" w14:textId="77777777" w:rsidR="00B545BF" w:rsidRPr="00EC39C7" w:rsidRDefault="00B545BF" w:rsidP="00B545BF">
            <w:pPr>
              <w:rPr>
                <w:sz w:val="20"/>
                <w:szCs w:val="20"/>
              </w:rPr>
            </w:pPr>
            <w:r w:rsidRPr="00EC39C7">
              <w:rPr>
                <w:sz w:val="20"/>
                <w:szCs w:val="20"/>
              </w:rPr>
              <w:t>Loans receivable, current portion</w:t>
            </w:r>
          </w:p>
        </w:tc>
        <w:tc>
          <w:tcPr>
            <w:tcW w:w="1488" w:type="dxa"/>
            <w:tcBorders>
              <w:bottom w:val="single" w:sz="4" w:space="0" w:color="auto"/>
            </w:tcBorders>
            <w:shd w:val="clear" w:color="auto" w:fill="auto"/>
          </w:tcPr>
          <w:p w14:paraId="4D093355" w14:textId="405EC891" w:rsidR="00B545BF" w:rsidRPr="00EC39C7" w:rsidRDefault="00B545BF" w:rsidP="00B545BF">
            <w:pPr>
              <w:tabs>
                <w:tab w:val="left" w:pos="0"/>
                <w:tab w:val="decimal" w:pos="1202"/>
              </w:tabs>
              <w:rPr>
                <w:sz w:val="20"/>
                <w:szCs w:val="20"/>
              </w:rPr>
            </w:pPr>
            <w:r w:rsidRPr="00EC39C7">
              <w:rPr>
                <w:sz w:val="20"/>
                <w:szCs w:val="20"/>
              </w:rPr>
              <w:tab/>
              <w:t>(</w:t>
            </w:r>
            <w:r w:rsidR="00EC39C7" w:rsidRPr="00EC39C7">
              <w:rPr>
                <w:sz w:val="20"/>
                <w:szCs w:val="20"/>
              </w:rPr>
              <w:t>554,522</w:t>
            </w:r>
            <w:r w:rsidRPr="00EC39C7">
              <w:rPr>
                <w:sz w:val="20"/>
                <w:szCs w:val="20"/>
              </w:rPr>
              <w:t>)</w:t>
            </w:r>
          </w:p>
        </w:tc>
        <w:tc>
          <w:tcPr>
            <w:tcW w:w="1488" w:type="dxa"/>
            <w:tcBorders>
              <w:bottom w:val="single" w:sz="4" w:space="0" w:color="auto"/>
            </w:tcBorders>
          </w:tcPr>
          <w:p w14:paraId="09D8E823" w14:textId="343F0FCF" w:rsidR="00B545BF" w:rsidRPr="00EC39C7" w:rsidRDefault="00B545BF" w:rsidP="00B545BF">
            <w:pPr>
              <w:tabs>
                <w:tab w:val="left" w:pos="0"/>
                <w:tab w:val="decimal" w:pos="1202"/>
              </w:tabs>
              <w:rPr>
                <w:sz w:val="20"/>
                <w:szCs w:val="20"/>
              </w:rPr>
            </w:pPr>
            <w:r w:rsidRPr="00EC39C7">
              <w:rPr>
                <w:sz w:val="20"/>
                <w:szCs w:val="20"/>
              </w:rPr>
              <w:tab/>
              <w:t>(794,643)</w:t>
            </w:r>
          </w:p>
        </w:tc>
      </w:tr>
      <w:tr w:rsidR="00B545BF" w:rsidRPr="00EC39C7" w14:paraId="3BC45886" w14:textId="77777777" w:rsidTr="00B545BF">
        <w:tc>
          <w:tcPr>
            <w:tcW w:w="6090" w:type="dxa"/>
            <w:tcBorders>
              <w:top w:val="single" w:sz="4" w:space="0" w:color="auto"/>
            </w:tcBorders>
          </w:tcPr>
          <w:p w14:paraId="58586D8F" w14:textId="77777777" w:rsidR="00B545BF" w:rsidRPr="00EC39C7" w:rsidRDefault="00B545BF" w:rsidP="00B545BF">
            <w:pPr>
              <w:rPr>
                <w:sz w:val="20"/>
                <w:szCs w:val="20"/>
              </w:rPr>
            </w:pPr>
          </w:p>
        </w:tc>
        <w:tc>
          <w:tcPr>
            <w:tcW w:w="1488" w:type="dxa"/>
            <w:tcBorders>
              <w:top w:val="single" w:sz="4" w:space="0" w:color="auto"/>
            </w:tcBorders>
            <w:shd w:val="clear" w:color="auto" w:fill="auto"/>
          </w:tcPr>
          <w:p w14:paraId="536FE2CF" w14:textId="77777777" w:rsidR="00B545BF" w:rsidRPr="00EC39C7" w:rsidRDefault="00B545BF" w:rsidP="00B545BF">
            <w:pPr>
              <w:tabs>
                <w:tab w:val="left" w:pos="0"/>
                <w:tab w:val="decimal" w:pos="1202"/>
              </w:tabs>
              <w:rPr>
                <w:sz w:val="20"/>
                <w:szCs w:val="20"/>
              </w:rPr>
            </w:pPr>
          </w:p>
        </w:tc>
        <w:tc>
          <w:tcPr>
            <w:tcW w:w="1488" w:type="dxa"/>
            <w:tcBorders>
              <w:top w:val="single" w:sz="4" w:space="0" w:color="auto"/>
            </w:tcBorders>
          </w:tcPr>
          <w:p w14:paraId="119F7587" w14:textId="77777777" w:rsidR="00B545BF" w:rsidRPr="00EC39C7" w:rsidRDefault="00B545BF" w:rsidP="00B545BF">
            <w:pPr>
              <w:tabs>
                <w:tab w:val="left" w:pos="0"/>
                <w:tab w:val="decimal" w:pos="1202"/>
              </w:tabs>
              <w:rPr>
                <w:sz w:val="20"/>
                <w:szCs w:val="20"/>
              </w:rPr>
            </w:pPr>
          </w:p>
        </w:tc>
      </w:tr>
      <w:tr w:rsidR="00B545BF" w:rsidRPr="0007463E" w14:paraId="748C1FE2" w14:textId="77777777" w:rsidTr="00B545BF">
        <w:tc>
          <w:tcPr>
            <w:tcW w:w="6090" w:type="dxa"/>
            <w:tcBorders>
              <w:bottom w:val="double" w:sz="4" w:space="0" w:color="auto"/>
            </w:tcBorders>
          </w:tcPr>
          <w:p w14:paraId="7684E504" w14:textId="77777777" w:rsidR="00B545BF" w:rsidRPr="00EC39C7" w:rsidRDefault="00B545BF" w:rsidP="00B545BF">
            <w:pPr>
              <w:rPr>
                <w:sz w:val="20"/>
                <w:szCs w:val="20"/>
                <w:lang w:val="fr-FR"/>
              </w:rPr>
            </w:pPr>
            <w:proofErr w:type="spellStart"/>
            <w:r w:rsidRPr="00EC39C7">
              <w:rPr>
                <w:sz w:val="20"/>
                <w:szCs w:val="20"/>
                <w:lang w:val="fr-FR"/>
              </w:rPr>
              <w:t>Loans</w:t>
            </w:r>
            <w:proofErr w:type="spellEnd"/>
            <w:r w:rsidRPr="00EC39C7">
              <w:rPr>
                <w:sz w:val="20"/>
                <w:szCs w:val="20"/>
                <w:lang w:val="fr-FR"/>
              </w:rPr>
              <w:t xml:space="preserve"> </w:t>
            </w:r>
            <w:proofErr w:type="spellStart"/>
            <w:r w:rsidRPr="00EC39C7">
              <w:rPr>
                <w:sz w:val="20"/>
                <w:szCs w:val="20"/>
                <w:lang w:val="fr-FR"/>
              </w:rPr>
              <w:t>receivable</w:t>
            </w:r>
            <w:proofErr w:type="spellEnd"/>
            <w:r w:rsidRPr="00EC39C7">
              <w:rPr>
                <w:sz w:val="20"/>
                <w:szCs w:val="20"/>
                <w:lang w:val="fr-FR"/>
              </w:rPr>
              <w:t xml:space="preserve"> – non-</w:t>
            </w:r>
            <w:proofErr w:type="spellStart"/>
            <w:r w:rsidRPr="00EC39C7">
              <w:rPr>
                <w:sz w:val="20"/>
                <w:szCs w:val="20"/>
                <w:lang w:val="fr-FR"/>
              </w:rPr>
              <w:t>current</w:t>
            </w:r>
            <w:proofErr w:type="spellEnd"/>
            <w:r w:rsidRPr="00EC39C7">
              <w:rPr>
                <w:sz w:val="20"/>
                <w:szCs w:val="20"/>
                <w:lang w:val="fr-FR"/>
              </w:rPr>
              <w:t xml:space="preserve"> portion</w:t>
            </w:r>
          </w:p>
        </w:tc>
        <w:tc>
          <w:tcPr>
            <w:tcW w:w="1488" w:type="dxa"/>
            <w:tcBorders>
              <w:bottom w:val="double" w:sz="4" w:space="0" w:color="auto"/>
            </w:tcBorders>
            <w:shd w:val="clear" w:color="auto" w:fill="auto"/>
          </w:tcPr>
          <w:p w14:paraId="6352D093" w14:textId="7279F5D5"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r>
            <w:r w:rsidR="00D10DE0" w:rsidRPr="00EC39C7">
              <w:rPr>
                <w:sz w:val="20"/>
                <w:szCs w:val="20"/>
              </w:rPr>
              <w:t>1,</w:t>
            </w:r>
            <w:r w:rsidR="00EC39C7" w:rsidRPr="00EC39C7">
              <w:rPr>
                <w:sz w:val="20"/>
                <w:szCs w:val="20"/>
              </w:rPr>
              <w:t>076,391</w:t>
            </w:r>
          </w:p>
        </w:tc>
        <w:tc>
          <w:tcPr>
            <w:tcW w:w="1488" w:type="dxa"/>
            <w:tcBorders>
              <w:bottom w:val="double" w:sz="4" w:space="0" w:color="auto"/>
            </w:tcBorders>
          </w:tcPr>
          <w:p w14:paraId="34440FE3" w14:textId="724E56AE"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t>1,427,201</w:t>
            </w:r>
          </w:p>
        </w:tc>
      </w:tr>
      <w:bookmarkEnd w:id="5"/>
    </w:tbl>
    <w:p w14:paraId="5434B2D1" w14:textId="77777777" w:rsidR="00075F7C" w:rsidRPr="0007463E" w:rsidRDefault="00075F7C" w:rsidP="00C34E0C">
      <w:pPr>
        <w:ind w:left="284"/>
        <w:jc w:val="both"/>
        <w:rPr>
          <w:b/>
          <w:bCs/>
          <w:sz w:val="20"/>
          <w:szCs w:val="20"/>
          <w:highlight w:val="yellow"/>
        </w:rPr>
      </w:pPr>
    </w:p>
    <w:p w14:paraId="73581549" w14:textId="77777777" w:rsidR="00B545BF" w:rsidRPr="00EC39C7" w:rsidRDefault="00B545BF" w:rsidP="00B545BF">
      <w:pPr>
        <w:ind w:left="284"/>
        <w:jc w:val="both"/>
        <w:rPr>
          <w:i/>
          <w:iCs/>
          <w:sz w:val="20"/>
          <w:szCs w:val="20"/>
        </w:rPr>
      </w:pPr>
      <w:r w:rsidRPr="00EC39C7">
        <w:rPr>
          <w:b/>
          <w:bCs/>
          <w:sz w:val="20"/>
          <w:szCs w:val="20"/>
        </w:rPr>
        <w:t>Reconciliation of allowance for loan impairment</w:t>
      </w:r>
      <w:r w:rsidRPr="00EC39C7">
        <w:rPr>
          <w:sz w:val="20"/>
          <w:szCs w:val="20"/>
        </w:rPr>
        <w:t xml:space="preserve"> </w:t>
      </w:r>
    </w:p>
    <w:p w14:paraId="1535849D" w14:textId="77777777" w:rsidR="00B545BF" w:rsidRPr="0007463E" w:rsidRDefault="00B545BF" w:rsidP="00B545BF">
      <w:pPr>
        <w:jc w:val="both"/>
        <w:rPr>
          <w:b/>
          <w:bCs/>
          <w:sz w:val="20"/>
          <w:szCs w:val="20"/>
          <w:highlight w:val="yellow"/>
        </w:rPr>
      </w:pPr>
    </w:p>
    <w:tbl>
      <w:tblPr>
        <w:tblStyle w:val="TableGrid"/>
        <w:tblW w:w="9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B545BF" w:rsidRPr="00EC39C7" w14:paraId="5DD0DC84" w14:textId="77777777" w:rsidTr="00B545BF">
        <w:tc>
          <w:tcPr>
            <w:tcW w:w="6090" w:type="dxa"/>
            <w:tcBorders>
              <w:top w:val="double" w:sz="4" w:space="0" w:color="auto"/>
              <w:bottom w:val="single" w:sz="4" w:space="0" w:color="auto"/>
            </w:tcBorders>
          </w:tcPr>
          <w:p w14:paraId="412D2E83" w14:textId="77777777" w:rsidR="00B545BF" w:rsidRPr="00EC39C7" w:rsidRDefault="00B545BF" w:rsidP="00B545BF">
            <w:pPr>
              <w:rPr>
                <w:sz w:val="20"/>
                <w:szCs w:val="20"/>
              </w:rPr>
            </w:pPr>
          </w:p>
        </w:tc>
        <w:tc>
          <w:tcPr>
            <w:tcW w:w="1488" w:type="dxa"/>
            <w:tcBorders>
              <w:top w:val="double" w:sz="4" w:space="0" w:color="auto"/>
              <w:bottom w:val="single" w:sz="4" w:space="0" w:color="auto"/>
            </w:tcBorders>
          </w:tcPr>
          <w:p w14:paraId="7D5E2942" w14:textId="6791748E" w:rsidR="00B545BF" w:rsidRPr="00EC39C7" w:rsidRDefault="00C117D6" w:rsidP="00B545BF">
            <w:pPr>
              <w:tabs>
                <w:tab w:val="decimal" w:pos="1202"/>
              </w:tabs>
              <w:rPr>
                <w:b/>
                <w:bCs/>
                <w:sz w:val="20"/>
                <w:szCs w:val="20"/>
              </w:rPr>
            </w:pPr>
            <w:r w:rsidRPr="00EC39C7">
              <w:rPr>
                <w:b/>
                <w:bCs/>
                <w:sz w:val="20"/>
                <w:szCs w:val="20"/>
              </w:rPr>
              <w:t>June 30</w:t>
            </w:r>
            <w:r w:rsidR="00B545BF" w:rsidRPr="00EC39C7">
              <w:rPr>
                <w:b/>
                <w:bCs/>
                <w:sz w:val="20"/>
                <w:szCs w:val="20"/>
              </w:rPr>
              <w:t>,</w:t>
            </w:r>
          </w:p>
          <w:p w14:paraId="2061C8BB" w14:textId="35381D36" w:rsidR="00B545BF" w:rsidRPr="00EC39C7" w:rsidRDefault="00B545BF" w:rsidP="00B545BF">
            <w:pPr>
              <w:tabs>
                <w:tab w:val="decimal" w:pos="1202"/>
              </w:tabs>
              <w:rPr>
                <w:b/>
                <w:bCs/>
                <w:sz w:val="20"/>
                <w:szCs w:val="20"/>
              </w:rPr>
            </w:pPr>
            <w:r w:rsidRPr="00EC39C7">
              <w:rPr>
                <w:b/>
                <w:bCs/>
                <w:sz w:val="20"/>
                <w:szCs w:val="20"/>
              </w:rPr>
              <w:t xml:space="preserve"> </w:t>
            </w:r>
            <w:r w:rsidR="002B2D4A" w:rsidRPr="00EC39C7">
              <w:rPr>
                <w:b/>
                <w:bCs/>
                <w:sz w:val="20"/>
                <w:szCs w:val="20"/>
              </w:rPr>
              <w:t>2021</w:t>
            </w:r>
          </w:p>
        </w:tc>
        <w:tc>
          <w:tcPr>
            <w:tcW w:w="1488" w:type="dxa"/>
            <w:tcBorders>
              <w:top w:val="double" w:sz="4" w:space="0" w:color="auto"/>
              <w:bottom w:val="single" w:sz="4" w:space="0" w:color="auto"/>
            </w:tcBorders>
          </w:tcPr>
          <w:p w14:paraId="263DF437" w14:textId="77777777" w:rsidR="00B545BF" w:rsidRPr="00EC39C7" w:rsidRDefault="00B545BF" w:rsidP="00B545BF">
            <w:pPr>
              <w:tabs>
                <w:tab w:val="decimal" w:pos="1202"/>
              </w:tabs>
              <w:rPr>
                <w:b/>
                <w:bCs/>
                <w:sz w:val="20"/>
                <w:szCs w:val="20"/>
              </w:rPr>
            </w:pPr>
            <w:r w:rsidRPr="00EC39C7">
              <w:rPr>
                <w:b/>
                <w:bCs/>
                <w:sz w:val="20"/>
                <w:szCs w:val="20"/>
              </w:rPr>
              <w:t>December 31,</w:t>
            </w:r>
          </w:p>
          <w:p w14:paraId="4A9B4439" w14:textId="31CEAEA2" w:rsidR="00B545BF" w:rsidRPr="00EC39C7" w:rsidRDefault="00B545BF" w:rsidP="00B545BF">
            <w:pPr>
              <w:tabs>
                <w:tab w:val="decimal" w:pos="1202"/>
              </w:tabs>
              <w:rPr>
                <w:b/>
                <w:bCs/>
                <w:sz w:val="20"/>
                <w:szCs w:val="20"/>
              </w:rPr>
            </w:pPr>
            <w:r w:rsidRPr="00EC39C7">
              <w:rPr>
                <w:b/>
                <w:bCs/>
                <w:sz w:val="20"/>
                <w:szCs w:val="20"/>
              </w:rPr>
              <w:t xml:space="preserve"> 2020</w:t>
            </w:r>
          </w:p>
        </w:tc>
      </w:tr>
      <w:tr w:rsidR="00B545BF" w:rsidRPr="00EC39C7" w14:paraId="5BA4CFB7" w14:textId="77777777" w:rsidTr="00B545BF">
        <w:tc>
          <w:tcPr>
            <w:tcW w:w="6090" w:type="dxa"/>
            <w:tcBorders>
              <w:top w:val="single" w:sz="4" w:space="0" w:color="auto"/>
            </w:tcBorders>
          </w:tcPr>
          <w:p w14:paraId="30A8A22D" w14:textId="783BB7ED" w:rsidR="00B545BF" w:rsidRPr="00EC39C7" w:rsidRDefault="00B545BF" w:rsidP="00B545BF">
            <w:pPr>
              <w:rPr>
                <w:sz w:val="20"/>
                <w:szCs w:val="20"/>
              </w:rPr>
            </w:pPr>
            <w:r w:rsidRPr="00EC39C7">
              <w:rPr>
                <w:sz w:val="20"/>
                <w:szCs w:val="20"/>
              </w:rPr>
              <w:t xml:space="preserve">Balance, beginning of the </w:t>
            </w:r>
            <w:r w:rsidR="009F7088" w:rsidRPr="00EC39C7">
              <w:rPr>
                <w:sz w:val="20"/>
                <w:szCs w:val="20"/>
              </w:rPr>
              <w:t xml:space="preserve">period / </w:t>
            </w:r>
            <w:r w:rsidRPr="00EC39C7">
              <w:rPr>
                <w:sz w:val="20"/>
                <w:szCs w:val="20"/>
              </w:rPr>
              <w:t>year</w:t>
            </w:r>
            <w:r w:rsidR="009F7088" w:rsidRPr="00EC39C7">
              <w:rPr>
                <w:sz w:val="20"/>
                <w:szCs w:val="20"/>
              </w:rPr>
              <w:t xml:space="preserve"> </w:t>
            </w:r>
          </w:p>
        </w:tc>
        <w:tc>
          <w:tcPr>
            <w:tcW w:w="1488" w:type="dxa"/>
            <w:tcBorders>
              <w:top w:val="single" w:sz="4" w:space="0" w:color="auto"/>
            </w:tcBorders>
          </w:tcPr>
          <w:p w14:paraId="5062533E" w14:textId="605E0E26"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r>
            <w:r w:rsidR="00D10DE0" w:rsidRPr="00EC39C7">
              <w:rPr>
                <w:sz w:val="20"/>
                <w:szCs w:val="20"/>
              </w:rPr>
              <w:t>220,000</w:t>
            </w:r>
          </w:p>
        </w:tc>
        <w:tc>
          <w:tcPr>
            <w:tcW w:w="1488" w:type="dxa"/>
            <w:tcBorders>
              <w:top w:val="single" w:sz="4" w:space="0" w:color="auto"/>
            </w:tcBorders>
          </w:tcPr>
          <w:p w14:paraId="0D9C9E66" w14:textId="610E4FB8"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t>235,983</w:t>
            </w:r>
          </w:p>
        </w:tc>
      </w:tr>
      <w:tr w:rsidR="00B545BF" w:rsidRPr="00EC39C7" w14:paraId="04AD2F25" w14:textId="77777777" w:rsidTr="00B545BF">
        <w:tc>
          <w:tcPr>
            <w:tcW w:w="6090" w:type="dxa"/>
          </w:tcPr>
          <w:p w14:paraId="5CC192CB" w14:textId="1B0C3C9C" w:rsidR="00B545BF" w:rsidRPr="00EC39C7" w:rsidRDefault="00B545BF" w:rsidP="00B545BF">
            <w:pPr>
              <w:rPr>
                <w:sz w:val="20"/>
                <w:szCs w:val="20"/>
              </w:rPr>
            </w:pPr>
            <w:r w:rsidRPr="00EC39C7">
              <w:rPr>
                <w:sz w:val="20"/>
                <w:szCs w:val="20"/>
              </w:rPr>
              <w:t>Loans receivable written-off</w:t>
            </w:r>
            <w:r w:rsidR="00EC39C7">
              <w:rPr>
                <w:sz w:val="20"/>
                <w:szCs w:val="20"/>
              </w:rPr>
              <w:t xml:space="preserve"> (recovered)</w:t>
            </w:r>
          </w:p>
        </w:tc>
        <w:tc>
          <w:tcPr>
            <w:tcW w:w="1488" w:type="dxa"/>
          </w:tcPr>
          <w:p w14:paraId="0929647E" w14:textId="15FDD05C" w:rsidR="00B545BF" w:rsidRPr="00EC39C7" w:rsidRDefault="00B545BF" w:rsidP="00B545BF">
            <w:pPr>
              <w:tabs>
                <w:tab w:val="decimal" w:pos="1202"/>
              </w:tabs>
              <w:rPr>
                <w:sz w:val="20"/>
                <w:szCs w:val="20"/>
              </w:rPr>
            </w:pPr>
            <w:r w:rsidRPr="00EC39C7">
              <w:rPr>
                <w:sz w:val="20"/>
                <w:szCs w:val="20"/>
              </w:rPr>
              <w:t>(</w:t>
            </w:r>
            <w:r w:rsidR="00EC39C7" w:rsidRPr="00EC39C7">
              <w:rPr>
                <w:sz w:val="20"/>
                <w:szCs w:val="20"/>
              </w:rPr>
              <w:t>6,147</w:t>
            </w:r>
            <w:r w:rsidRPr="00EC39C7">
              <w:rPr>
                <w:sz w:val="20"/>
                <w:szCs w:val="20"/>
              </w:rPr>
              <w:t>)</w:t>
            </w:r>
          </w:p>
        </w:tc>
        <w:tc>
          <w:tcPr>
            <w:tcW w:w="1488" w:type="dxa"/>
          </w:tcPr>
          <w:p w14:paraId="51096DC8" w14:textId="7D1541FF" w:rsidR="00B545BF" w:rsidRPr="00EC39C7" w:rsidRDefault="00B545BF" w:rsidP="00B545BF">
            <w:pPr>
              <w:tabs>
                <w:tab w:val="decimal" w:pos="1202"/>
              </w:tabs>
              <w:rPr>
                <w:sz w:val="20"/>
                <w:szCs w:val="20"/>
              </w:rPr>
            </w:pPr>
            <w:r w:rsidRPr="00EC39C7">
              <w:rPr>
                <w:sz w:val="20"/>
                <w:szCs w:val="20"/>
              </w:rPr>
              <w:t>(363,473)</w:t>
            </w:r>
          </w:p>
        </w:tc>
      </w:tr>
      <w:tr w:rsidR="00B545BF" w:rsidRPr="00EC39C7" w14:paraId="26112FFE" w14:textId="77777777" w:rsidTr="00B545BF">
        <w:tc>
          <w:tcPr>
            <w:tcW w:w="6090" w:type="dxa"/>
          </w:tcPr>
          <w:p w14:paraId="02F6621B" w14:textId="77777777" w:rsidR="00B545BF" w:rsidRPr="00EC39C7" w:rsidRDefault="00B545BF" w:rsidP="00B545BF">
            <w:pPr>
              <w:rPr>
                <w:sz w:val="20"/>
                <w:szCs w:val="20"/>
              </w:rPr>
            </w:pPr>
            <w:r w:rsidRPr="00EC39C7">
              <w:rPr>
                <w:sz w:val="20"/>
                <w:szCs w:val="20"/>
              </w:rPr>
              <w:t>Change in provision for impairment losses</w:t>
            </w:r>
          </w:p>
        </w:tc>
        <w:tc>
          <w:tcPr>
            <w:tcW w:w="1488" w:type="dxa"/>
          </w:tcPr>
          <w:p w14:paraId="411E5A1C" w14:textId="22B5EF2C" w:rsidR="00B545BF" w:rsidRPr="00EC39C7" w:rsidRDefault="00EC39C7" w:rsidP="00B545BF">
            <w:pPr>
              <w:tabs>
                <w:tab w:val="decimal" w:pos="1202"/>
              </w:tabs>
              <w:rPr>
                <w:sz w:val="20"/>
                <w:szCs w:val="20"/>
              </w:rPr>
            </w:pPr>
            <w:r w:rsidRPr="00EC39C7">
              <w:rPr>
                <w:sz w:val="20"/>
                <w:szCs w:val="20"/>
              </w:rPr>
              <w:t>(114,601)</w:t>
            </w:r>
          </w:p>
        </w:tc>
        <w:tc>
          <w:tcPr>
            <w:tcW w:w="1488" w:type="dxa"/>
          </w:tcPr>
          <w:p w14:paraId="3DAE3954" w14:textId="3391D304" w:rsidR="00B545BF" w:rsidRPr="00EC39C7" w:rsidRDefault="00B545BF" w:rsidP="00B545BF">
            <w:pPr>
              <w:tabs>
                <w:tab w:val="decimal" w:pos="1202"/>
              </w:tabs>
              <w:rPr>
                <w:sz w:val="20"/>
                <w:szCs w:val="20"/>
              </w:rPr>
            </w:pPr>
            <w:r w:rsidRPr="00EC39C7">
              <w:rPr>
                <w:sz w:val="20"/>
                <w:szCs w:val="20"/>
              </w:rPr>
              <w:t>347,490</w:t>
            </w:r>
          </w:p>
        </w:tc>
      </w:tr>
      <w:tr w:rsidR="00B545BF" w:rsidRPr="00EC39C7" w14:paraId="30774894" w14:textId="77777777" w:rsidTr="00B545BF">
        <w:tc>
          <w:tcPr>
            <w:tcW w:w="6090" w:type="dxa"/>
            <w:tcBorders>
              <w:top w:val="single" w:sz="4" w:space="0" w:color="auto"/>
            </w:tcBorders>
          </w:tcPr>
          <w:p w14:paraId="5F101BB7" w14:textId="77777777" w:rsidR="00B545BF" w:rsidRPr="00EC39C7" w:rsidRDefault="00B545BF" w:rsidP="00B545BF">
            <w:pPr>
              <w:rPr>
                <w:sz w:val="20"/>
                <w:szCs w:val="20"/>
              </w:rPr>
            </w:pPr>
          </w:p>
        </w:tc>
        <w:tc>
          <w:tcPr>
            <w:tcW w:w="1488" w:type="dxa"/>
            <w:tcBorders>
              <w:top w:val="single" w:sz="4" w:space="0" w:color="auto"/>
            </w:tcBorders>
          </w:tcPr>
          <w:p w14:paraId="080422CF" w14:textId="77777777" w:rsidR="00B545BF" w:rsidRPr="00EC39C7" w:rsidRDefault="00B545BF" w:rsidP="00B545BF">
            <w:pPr>
              <w:tabs>
                <w:tab w:val="decimal" w:pos="1202"/>
              </w:tabs>
              <w:rPr>
                <w:sz w:val="20"/>
                <w:szCs w:val="20"/>
              </w:rPr>
            </w:pPr>
          </w:p>
        </w:tc>
        <w:tc>
          <w:tcPr>
            <w:tcW w:w="1488" w:type="dxa"/>
            <w:tcBorders>
              <w:top w:val="single" w:sz="4" w:space="0" w:color="auto"/>
            </w:tcBorders>
          </w:tcPr>
          <w:p w14:paraId="6063525B" w14:textId="77777777" w:rsidR="00B545BF" w:rsidRPr="00EC39C7" w:rsidRDefault="00B545BF" w:rsidP="00B545BF">
            <w:pPr>
              <w:tabs>
                <w:tab w:val="decimal" w:pos="1202"/>
              </w:tabs>
              <w:rPr>
                <w:sz w:val="20"/>
                <w:szCs w:val="20"/>
              </w:rPr>
            </w:pPr>
          </w:p>
        </w:tc>
      </w:tr>
      <w:tr w:rsidR="00B545BF" w:rsidRPr="00EC39C7" w14:paraId="3BBFB900" w14:textId="77777777" w:rsidTr="00B545BF">
        <w:tc>
          <w:tcPr>
            <w:tcW w:w="6090" w:type="dxa"/>
            <w:tcBorders>
              <w:bottom w:val="double" w:sz="4" w:space="0" w:color="auto"/>
            </w:tcBorders>
          </w:tcPr>
          <w:p w14:paraId="6B281AB3" w14:textId="1C805515" w:rsidR="00B545BF" w:rsidRPr="00EC39C7" w:rsidRDefault="00B545BF" w:rsidP="00B545BF">
            <w:pPr>
              <w:rPr>
                <w:sz w:val="20"/>
                <w:szCs w:val="20"/>
              </w:rPr>
            </w:pPr>
            <w:r w:rsidRPr="00EC39C7">
              <w:rPr>
                <w:sz w:val="20"/>
                <w:szCs w:val="20"/>
              </w:rPr>
              <w:t>Balance, end of the</w:t>
            </w:r>
            <w:r w:rsidR="009F7088" w:rsidRPr="00EC39C7">
              <w:rPr>
                <w:sz w:val="20"/>
                <w:szCs w:val="20"/>
              </w:rPr>
              <w:t xml:space="preserve"> period /</w:t>
            </w:r>
            <w:r w:rsidRPr="00EC39C7">
              <w:rPr>
                <w:sz w:val="20"/>
                <w:szCs w:val="20"/>
              </w:rPr>
              <w:t xml:space="preserve"> year</w:t>
            </w:r>
          </w:p>
        </w:tc>
        <w:tc>
          <w:tcPr>
            <w:tcW w:w="1488" w:type="dxa"/>
            <w:tcBorders>
              <w:bottom w:val="double" w:sz="4" w:space="0" w:color="auto"/>
            </w:tcBorders>
          </w:tcPr>
          <w:p w14:paraId="7C95230F" w14:textId="11F11333"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r>
            <w:r w:rsidR="00EC39C7" w:rsidRPr="00EC39C7">
              <w:rPr>
                <w:sz w:val="20"/>
                <w:szCs w:val="20"/>
              </w:rPr>
              <w:t>99,252</w:t>
            </w:r>
          </w:p>
        </w:tc>
        <w:tc>
          <w:tcPr>
            <w:tcW w:w="1488" w:type="dxa"/>
            <w:tcBorders>
              <w:bottom w:val="double" w:sz="4" w:space="0" w:color="auto"/>
            </w:tcBorders>
          </w:tcPr>
          <w:p w14:paraId="165C01F2" w14:textId="001C0EE4" w:rsidR="00B545BF" w:rsidRPr="00EC39C7" w:rsidRDefault="00B545BF" w:rsidP="00B545BF">
            <w:pPr>
              <w:tabs>
                <w:tab w:val="left" w:pos="0"/>
                <w:tab w:val="decimal" w:pos="1202"/>
              </w:tabs>
              <w:rPr>
                <w:sz w:val="20"/>
                <w:szCs w:val="20"/>
              </w:rPr>
            </w:pPr>
            <w:r w:rsidRPr="00EC39C7">
              <w:rPr>
                <w:sz w:val="20"/>
                <w:szCs w:val="20"/>
              </w:rPr>
              <w:t>$</w:t>
            </w:r>
            <w:r w:rsidRPr="00EC39C7">
              <w:rPr>
                <w:sz w:val="20"/>
                <w:szCs w:val="20"/>
              </w:rPr>
              <w:tab/>
              <w:t>220,000</w:t>
            </w:r>
          </w:p>
        </w:tc>
      </w:tr>
    </w:tbl>
    <w:p w14:paraId="176A4AA5" w14:textId="180DFAEC" w:rsidR="00075F7C" w:rsidRPr="00EC39C7" w:rsidRDefault="00075F7C" w:rsidP="007403CA">
      <w:pPr>
        <w:jc w:val="both"/>
        <w:rPr>
          <w:b/>
          <w:bCs/>
          <w:sz w:val="20"/>
          <w:szCs w:val="20"/>
        </w:rPr>
      </w:pPr>
    </w:p>
    <w:p w14:paraId="6369426B" w14:textId="01AEAC13" w:rsidR="00B545BF" w:rsidRPr="00EC39C7" w:rsidRDefault="00B545BF" w:rsidP="00B545BF">
      <w:pPr>
        <w:ind w:left="284"/>
        <w:jc w:val="both"/>
        <w:rPr>
          <w:sz w:val="20"/>
          <w:szCs w:val="20"/>
        </w:rPr>
      </w:pPr>
      <w:r w:rsidRPr="00EC39C7">
        <w:rPr>
          <w:sz w:val="20"/>
          <w:szCs w:val="20"/>
        </w:rPr>
        <w:t>The Company makes estimates of expected loan receivable impairment losses based on the probability of credit losses occurring and considering the delinquency of the loans outstanding, past experiences regarding losses, and an ongoing assessment of the market and of individual consumer debtors.  The Company also categorizes its loans by the number of days the loan payments are past due and estimates the probability of credit losses within these categories.  The allowance for credit losses is maintained at a level that the Company considers adequate to absorb credit-related losses and due to the nature of the loan portfolio, the allowance for loan impairment is based on lifetime expected credit losses. The allowance for credit losses of $</w:t>
      </w:r>
      <w:r w:rsidR="00EC39C7" w:rsidRPr="00EC39C7">
        <w:rPr>
          <w:sz w:val="20"/>
          <w:szCs w:val="20"/>
        </w:rPr>
        <w:t>99,252</w:t>
      </w:r>
      <w:r w:rsidRPr="00EC39C7">
        <w:rPr>
          <w:sz w:val="20"/>
          <w:szCs w:val="20"/>
        </w:rPr>
        <w:t xml:space="preserve"> represents </w:t>
      </w:r>
      <w:r w:rsidR="00EC39C7" w:rsidRPr="00EC39C7">
        <w:rPr>
          <w:sz w:val="20"/>
          <w:szCs w:val="20"/>
        </w:rPr>
        <w:t>5.58</w:t>
      </w:r>
      <w:r w:rsidRPr="00EC39C7">
        <w:rPr>
          <w:sz w:val="20"/>
          <w:szCs w:val="20"/>
        </w:rPr>
        <w:t xml:space="preserve">% of the Company’s outstanding loans receivable balance, inclusive of interest receivable, as </w:t>
      </w:r>
      <w:proofErr w:type="gramStart"/>
      <w:r w:rsidRPr="00EC39C7">
        <w:rPr>
          <w:sz w:val="20"/>
          <w:szCs w:val="20"/>
        </w:rPr>
        <w:t>at</w:t>
      </w:r>
      <w:proofErr w:type="gramEnd"/>
      <w:r w:rsidRPr="00EC39C7">
        <w:rPr>
          <w:sz w:val="20"/>
          <w:szCs w:val="20"/>
        </w:rPr>
        <w:t xml:space="preserve"> </w:t>
      </w:r>
      <w:r w:rsidR="00C117D6" w:rsidRPr="00EC39C7">
        <w:rPr>
          <w:sz w:val="20"/>
          <w:szCs w:val="20"/>
        </w:rPr>
        <w:t>June 30</w:t>
      </w:r>
      <w:r w:rsidRPr="00EC39C7">
        <w:rPr>
          <w:sz w:val="20"/>
          <w:szCs w:val="20"/>
        </w:rPr>
        <w:t xml:space="preserve">, 2021 (2020 – 6.63%).  </w:t>
      </w:r>
      <w:bookmarkStart w:id="6" w:name="_Hlk70582208"/>
    </w:p>
    <w:bookmarkEnd w:id="6"/>
    <w:p w14:paraId="670E06CD" w14:textId="77777777" w:rsidR="00B545BF" w:rsidRPr="0007463E" w:rsidRDefault="00B545BF" w:rsidP="00B545BF">
      <w:pPr>
        <w:ind w:left="284"/>
        <w:jc w:val="both"/>
        <w:rPr>
          <w:sz w:val="20"/>
          <w:szCs w:val="20"/>
          <w:highlight w:val="yellow"/>
        </w:rPr>
      </w:pPr>
    </w:p>
    <w:p w14:paraId="2027DA04" w14:textId="61ECE321" w:rsidR="00B545BF" w:rsidRPr="00EC39C7" w:rsidRDefault="00B545BF" w:rsidP="00B545BF">
      <w:pPr>
        <w:ind w:left="284"/>
        <w:jc w:val="both"/>
        <w:rPr>
          <w:sz w:val="20"/>
          <w:szCs w:val="20"/>
        </w:rPr>
      </w:pPr>
      <w:bookmarkStart w:id="7" w:name="_Hlk70582381"/>
      <w:r w:rsidRPr="00EC39C7">
        <w:rPr>
          <w:sz w:val="20"/>
          <w:szCs w:val="20"/>
        </w:rPr>
        <w:t xml:space="preserve">A loan receivable is considered past due when a consumer debtor has not made a payment by the contractual due date and written off when the consumer debtor has declared bankruptcy or applied for a consumer protection, or the Company has sent the loan receivable to an external collection agency for collections.  </w:t>
      </w:r>
      <w:bookmarkStart w:id="8" w:name="_Hlk73016152"/>
      <w:r w:rsidRPr="00EC39C7">
        <w:rPr>
          <w:sz w:val="20"/>
          <w:szCs w:val="20"/>
        </w:rPr>
        <w:t xml:space="preserve">During the </w:t>
      </w:r>
      <w:r w:rsidR="00C117D6" w:rsidRPr="00EC39C7">
        <w:rPr>
          <w:sz w:val="20"/>
          <w:szCs w:val="20"/>
        </w:rPr>
        <w:t>six months</w:t>
      </w:r>
      <w:r w:rsidRPr="00EC39C7">
        <w:rPr>
          <w:sz w:val="20"/>
          <w:szCs w:val="20"/>
        </w:rPr>
        <w:t xml:space="preserve"> ended </w:t>
      </w:r>
      <w:r w:rsidR="00C117D6" w:rsidRPr="00EC39C7">
        <w:rPr>
          <w:sz w:val="20"/>
          <w:szCs w:val="20"/>
        </w:rPr>
        <w:t>June 30</w:t>
      </w:r>
      <w:r w:rsidRPr="00EC39C7">
        <w:rPr>
          <w:sz w:val="20"/>
          <w:szCs w:val="20"/>
        </w:rPr>
        <w:t xml:space="preserve">, 2021, the Company </w:t>
      </w:r>
      <w:r w:rsidR="00EC39C7" w:rsidRPr="00EC39C7">
        <w:rPr>
          <w:sz w:val="20"/>
          <w:szCs w:val="20"/>
        </w:rPr>
        <w:t>recovered</w:t>
      </w:r>
      <w:r w:rsidRPr="00EC39C7">
        <w:rPr>
          <w:sz w:val="20"/>
          <w:szCs w:val="20"/>
        </w:rPr>
        <w:t xml:space="preserve"> $</w:t>
      </w:r>
      <w:r w:rsidR="00EC39C7" w:rsidRPr="00EC39C7">
        <w:rPr>
          <w:sz w:val="20"/>
          <w:szCs w:val="20"/>
        </w:rPr>
        <w:t>6,147</w:t>
      </w:r>
      <w:r w:rsidRPr="00EC39C7">
        <w:rPr>
          <w:sz w:val="20"/>
          <w:szCs w:val="20"/>
        </w:rPr>
        <w:t xml:space="preserve"> (</w:t>
      </w:r>
      <w:r w:rsidR="00D10DE0" w:rsidRPr="00EC39C7">
        <w:rPr>
          <w:sz w:val="20"/>
          <w:szCs w:val="20"/>
        </w:rPr>
        <w:t>2020 - $nil</w:t>
      </w:r>
      <w:r w:rsidRPr="00EC39C7">
        <w:rPr>
          <w:sz w:val="20"/>
          <w:szCs w:val="20"/>
        </w:rPr>
        <w:t xml:space="preserve">) in loans receivable. </w:t>
      </w:r>
      <w:bookmarkEnd w:id="8"/>
      <w:r w:rsidRPr="00EC39C7">
        <w:rPr>
          <w:sz w:val="20"/>
          <w:szCs w:val="20"/>
        </w:rPr>
        <w:t xml:space="preserve"> </w:t>
      </w:r>
      <w:r w:rsidRPr="00EC39C7" w:rsidDel="00AB6078">
        <w:rPr>
          <w:sz w:val="20"/>
          <w:szCs w:val="20"/>
        </w:rPr>
        <w:t xml:space="preserve"> </w:t>
      </w:r>
      <w:r w:rsidRPr="00EC39C7">
        <w:rPr>
          <w:sz w:val="20"/>
          <w:szCs w:val="20"/>
        </w:rPr>
        <w:t xml:space="preserve"> </w:t>
      </w:r>
    </w:p>
    <w:bookmarkEnd w:id="7"/>
    <w:p w14:paraId="33E38260" w14:textId="77777777" w:rsidR="00B545BF" w:rsidRPr="0007463E" w:rsidRDefault="00B545BF" w:rsidP="00B545BF">
      <w:pPr>
        <w:ind w:left="284"/>
        <w:jc w:val="both"/>
        <w:rPr>
          <w:sz w:val="20"/>
          <w:szCs w:val="20"/>
          <w:highlight w:val="yellow"/>
        </w:rPr>
      </w:pPr>
    </w:p>
    <w:p w14:paraId="2FF29E72" w14:textId="77777777" w:rsidR="009474AA" w:rsidRPr="00EC39C7" w:rsidRDefault="009474AA" w:rsidP="009474AA">
      <w:pPr>
        <w:ind w:left="284"/>
        <w:jc w:val="both"/>
        <w:rPr>
          <w:sz w:val="20"/>
          <w:szCs w:val="20"/>
        </w:rPr>
      </w:pPr>
      <w:r w:rsidRPr="00EC39C7">
        <w:rPr>
          <w:sz w:val="20"/>
          <w:szCs w:val="20"/>
        </w:rPr>
        <w:t xml:space="preserve">In prior years, loans receivable that were written-off were offset by a draw-down of a forbearance contingency, the amount of which was limited to the total funds available in the forbearance contingency. In December 2019, the Company discontinued the recognition of a forbearance </w:t>
      </w:r>
      <w:proofErr w:type="gramStart"/>
      <w:r w:rsidRPr="00EC39C7">
        <w:rPr>
          <w:sz w:val="20"/>
          <w:szCs w:val="20"/>
        </w:rPr>
        <w:t>contingency</w:t>
      </w:r>
      <w:proofErr w:type="gramEnd"/>
      <w:r w:rsidRPr="00EC39C7">
        <w:rPr>
          <w:sz w:val="20"/>
          <w:szCs w:val="20"/>
        </w:rPr>
        <w:t xml:space="preserve"> and the reserve was written off during the year ended December 31, 2020. The Company continues to collect forbearance fees on loans under the original terms of the pre-existing loan agreements, which are recorded as service fee income.</w:t>
      </w:r>
    </w:p>
    <w:p w14:paraId="5690F1CE" w14:textId="77777777" w:rsidR="007403CA" w:rsidRDefault="007403CA">
      <w:pPr>
        <w:spacing w:after="160" w:line="259" w:lineRule="auto"/>
        <w:rPr>
          <w:sz w:val="20"/>
          <w:szCs w:val="20"/>
          <w:highlight w:val="yellow"/>
        </w:rPr>
      </w:pPr>
      <w:r>
        <w:rPr>
          <w:sz w:val="20"/>
          <w:szCs w:val="20"/>
          <w:highlight w:val="yellow"/>
        </w:rPr>
        <w:br w:type="page"/>
      </w:r>
    </w:p>
    <w:p w14:paraId="420CB8C2" w14:textId="77777777" w:rsidR="007403CA" w:rsidRDefault="007403CA" w:rsidP="00B545BF">
      <w:pPr>
        <w:ind w:left="284"/>
        <w:jc w:val="both"/>
        <w:rPr>
          <w:sz w:val="20"/>
          <w:szCs w:val="20"/>
          <w:highlight w:val="yellow"/>
        </w:rPr>
      </w:pPr>
    </w:p>
    <w:p w14:paraId="7C32DCE0" w14:textId="77777777" w:rsidR="007403CA" w:rsidRPr="00EC39C7" w:rsidRDefault="007403CA" w:rsidP="00371BEA">
      <w:pPr>
        <w:pStyle w:val="ListParagraph"/>
        <w:numPr>
          <w:ilvl w:val="0"/>
          <w:numId w:val="28"/>
        </w:numPr>
        <w:ind w:left="284"/>
        <w:rPr>
          <w:b/>
          <w:bCs/>
          <w:sz w:val="20"/>
          <w:szCs w:val="20"/>
        </w:rPr>
      </w:pPr>
      <w:r w:rsidRPr="00EC39C7">
        <w:rPr>
          <w:b/>
          <w:bCs/>
          <w:sz w:val="20"/>
          <w:szCs w:val="20"/>
        </w:rPr>
        <w:t>LOANS RECEIVABLE</w:t>
      </w:r>
      <w:r w:rsidRPr="00EC39C7">
        <w:rPr>
          <w:i/>
          <w:iCs/>
          <w:sz w:val="20"/>
          <w:szCs w:val="20"/>
        </w:rPr>
        <w:t xml:space="preserve"> (cont’d…)</w:t>
      </w:r>
    </w:p>
    <w:p w14:paraId="3261F2B6" w14:textId="77777777" w:rsidR="00B545BF" w:rsidRPr="00EC39C7" w:rsidRDefault="00B545BF" w:rsidP="00B545BF">
      <w:pPr>
        <w:ind w:left="284"/>
        <w:jc w:val="both"/>
        <w:rPr>
          <w:sz w:val="20"/>
          <w:szCs w:val="20"/>
        </w:rPr>
      </w:pPr>
    </w:p>
    <w:p w14:paraId="72A90F93" w14:textId="77777777" w:rsidR="00B545BF" w:rsidRPr="00EC39C7" w:rsidRDefault="00B545BF" w:rsidP="00B545BF">
      <w:pPr>
        <w:ind w:left="284"/>
        <w:jc w:val="both"/>
        <w:rPr>
          <w:b/>
          <w:bCs/>
          <w:sz w:val="20"/>
          <w:szCs w:val="20"/>
        </w:rPr>
      </w:pPr>
      <w:r w:rsidRPr="00EC39C7">
        <w:rPr>
          <w:b/>
          <w:bCs/>
          <w:sz w:val="20"/>
          <w:szCs w:val="20"/>
        </w:rPr>
        <w:t>Loans receivable past due but not impaired</w:t>
      </w:r>
    </w:p>
    <w:p w14:paraId="5AC763FA" w14:textId="77777777" w:rsidR="00B545BF" w:rsidRPr="00EC39C7" w:rsidRDefault="00B545BF" w:rsidP="00B545BF">
      <w:pPr>
        <w:ind w:left="284"/>
        <w:jc w:val="both"/>
        <w:rPr>
          <w:b/>
          <w:bCs/>
          <w:sz w:val="20"/>
          <w:szCs w:val="20"/>
        </w:rPr>
      </w:pPr>
    </w:p>
    <w:p w14:paraId="2E53451D" w14:textId="23D7ADB9" w:rsidR="00B545BF" w:rsidRPr="00EC39C7" w:rsidRDefault="00B545BF" w:rsidP="00B545BF">
      <w:pPr>
        <w:ind w:left="284"/>
        <w:jc w:val="both"/>
        <w:rPr>
          <w:sz w:val="20"/>
          <w:szCs w:val="20"/>
        </w:rPr>
      </w:pPr>
      <w:r w:rsidRPr="00EC39C7">
        <w:rPr>
          <w:sz w:val="20"/>
          <w:szCs w:val="20"/>
        </w:rPr>
        <w:t>The following table presents the carrying values of loans that are past due but not classified as impaired because: (</w:t>
      </w:r>
      <w:proofErr w:type="spellStart"/>
      <w:r w:rsidRPr="00EC39C7">
        <w:rPr>
          <w:sz w:val="20"/>
          <w:szCs w:val="20"/>
        </w:rPr>
        <w:t>i</w:t>
      </w:r>
      <w:proofErr w:type="spellEnd"/>
      <w:r w:rsidRPr="00EC39C7">
        <w:rPr>
          <w:sz w:val="20"/>
          <w:szCs w:val="20"/>
        </w:rPr>
        <w:t xml:space="preserve">) the Company is in continuous contact with the consumer debtor and the Company and the consumer debtor have established an appropriate repayment plan, or (ii) the loan receivable is </w:t>
      </w:r>
      <w:proofErr w:type="gramStart"/>
      <w:r w:rsidRPr="00EC39C7">
        <w:rPr>
          <w:sz w:val="20"/>
          <w:szCs w:val="20"/>
        </w:rPr>
        <w:t>secured</w:t>
      </w:r>
      <w:proofErr w:type="gramEnd"/>
      <w:r w:rsidRPr="00EC39C7">
        <w:rPr>
          <w:sz w:val="20"/>
          <w:szCs w:val="20"/>
        </w:rPr>
        <w:t xml:space="preserve"> and the fair value of the collateral is sufficient to cover the carrying value of the loan receivable.</w:t>
      </w:r>
    </w:p>
    <w:p w14:paraId="4B8F3477" w14:textId="77777777" w:rsidR="00B545BF" w:rsidRPr="00EC39C7" w:rsidRDefault="00B545BF" w:rsidP="00B545BF">
      <w:pPr>
        <w:jc w:val="both"/>
        <w:rPr>
          <w:sz w:val="20"/>
          <w:szCs w:val="20"/>
        </w:rPr>
      </w:pPr>
    </w:p>
    <w:p w14:paraId="4FDC8548" w14:textId="2C98A098" w:rsidR="00B545BF" w:rsidRPr="00EC39C7" w:rsidRDefault="00B545BF" w:rsidP="00B545BF">
      <w:pPr>
        <w:ind w:left="284"/>
        <w:jc w:val="both"/>
        <w:rPr>
          <w:sz w:val="20"/>
          <w:szCs w:val="20"/>
        </w:rPr>
      </w:pPr>
      <w:r w:rsidRPr="00EC39C7">
        <w:rPr>
          <w:sz w:val="20"/>
          <w:szCs w:val="20"/>
        </w:rPr>
        <w:t xml:space="preserve">Loans and interest receivable that are past due but not impaired </w:t>
      </w:r>
      <w:proofErr w:type="gramStart"/>
      <w:r w:rsidRPr="00EC39C7">
        <w:rPr>
          <w:sz w:val="20"/>
          <w:szCs w:val="20"/>
        </w:rPr>
        <w:t>at</w:t>
      </w:r>
      <w:proofErr w:type="gramEnd"/>
      <w:r w:rsidRPr="00EC39C7">
        <w:rPr>
          <w:sz w:val="20"/>
          <w:szCs w:val="20"/>
        </w:rPr>
        <w:t xml:space="preserve"> </w:t>
      </w:r>
      <w:r w:rsidR="00C117D6" w:rsidRPr="00EC39C7">
        <w:rPr>
          <w:sz w:val="20"/>
          <w:szCs w:val="20"/>
        </w:rPr>
        <w:t>June 30</w:t>
      </w:r>
      <w:r w:rsidR="00C50134" w:rsidRPr="00EC39C7">
        <w:rPr>
          <w:sz w:val="20"/>
          <w:szCs w:val="20"/>
        </w:rPr>
        <w:t xml:space="preserve">, 2021 and </w:t>
      </w:r>
      <w:r w:rsidRPr="00EC39C7">
        <w:rPr>
          <w:sz w:val="20"/>
          <w:szCs w:val="20"/>
        </w:rPr>
        <w:t>December 31, 2020 are as follows:</w:t>
      </w:r>
    </w:p>
    <w:p w14:paraId="59F20301" w14:textId="77777777" w:rsidR="00B545BF" w:rsidRPr="0007463E" w:rsidRDefault="00B545BF" w:rsidP="00B545BF">
      <w:pPr>
        <w:ind w:left="284"/>
        <w:jc w:val="both"/>
        <w:rPr>
          <w:sz w:val="20"/>
          <w:szCs w:val="20"/>
          <w:highlight w:val="yellow"/>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22"/>
        <w:gridCol w:w="1522"/>
        <w:gridCol w:w="1522"/>
        <w:gridCol w:w="1523"/>
      </w:tblGrid>
      <w:tr w:rsidR="00B545BF" w:rsidRPr="00EC39C7" w14:paraId="70268207" w14:textId="77777777" w:rsidTr="00E60C9A">
        <w:tc>
          <w:tcPr>
            <w:tcW w:w="2977" w:type="dxa"/>
            <w:tcBorders>
              <w:top w:val="double" w:sz="4" w:space="0" w:color="auto"/>
              <w:bottom w:val="single" w:sz="4" w:space="0" w:color="auto"/>
            </w:tcBorders>
          </w:tcPr>
          <w:p w14:paraId="346A3420" w14:textId="4ED15CAE" w:rsidR="00B545BF" w:rsidRPr="00EC39C7" w:rsidRDefault="00C117D6" w:rsidP="00E60C9A">
            <w:pPr>
              <w:jc w:val="both"/>
              <w:rPr>
                <w:sz w:val="20"/>
                <w:szCs w:val="20"/>
              </w:rPr>
            </w:pPr>
            <w:r w:rsidRPr="00EC39C7">
              <w:rPr>
                <w:b/>
                <w:bCs/>
                <w:sz w:val="20"/>
                <w:szCs w:val="20"/>
              </w:rPr>
              <w:t>June 30</w:t>
            </w:r>
            <w:r w:rsidR="001449B7" w:rsidRPr="00EC39C7">
              <w:rPr>
                <w:b/>
                <w:bCs/>
                <w:sz w:val="20"/>
                <w:szCs w:val="20"/>
              </w:rPr>
              <w:t>, 2021</w:t>
            </w:r>
          </w:p>
        </w:tc>
        <w:tc>
          <w:tcPr>
            <w:tcW w:w="1522" w:type="dxa"/>
            <w:tcBorders>
              <w:top w:val="double" w:sz="4" w:space="0" w:color="auto"/>
              <w:bottom w:val="single" w:sz="4" w:space="0" w:color="auto"/>
            </w:tcBorders>
          </w:tcPr>
          <w:p w14:paraId="695E85A4" w14:textId="77777777" w:rsidR="00B545BF" w:rsidRPr="00EC39C7" w:rsidRDefault="00B545BF" w:rsidP="00E60C9A">
            <w:pPr>
              <w:tabs>
                <w:tab w:val="left" w:pos="0"/>
                <w:tab w:val="decimal" w:pos="1219"/>
              </w:tabs>
              <w:jc w:val="both"/>
              <w:rPr>
                <w:b/>
                <w:bCs/>
                <w:sz w:val="20"/>
                <w:szCs w:val="20"/>
              </w:rPr>
            </w:pPr>
            <w:r w:rsidRPr="00EC39C7">
              <w:rPr>
                <w:b/>
                <w:bCs/>
                <w:sz w:val="20"/>
                <w:szCs w:val="20"/>
              </w:rPr>
              <w:tab/>
              <w:t>30-60 days</w:t>
            </w:r>
          </w:p>
        </w:tc>
        <w:tc>
          <w:tcPr>
            <w:tcW w:w="1522" w:type="dxa"/>
            <w:tcBorders>
              <w:top w:val="double" w:sz="4" w:space="0" w:color="auto"/>
              <w:bottom w:val="single" w:sz="4" w:space="0" w:color="auto"/>
            </w:tcBorders>
          </w:tcPr>
          <w:p w14:paraId="6A39D27F" w14:textId="77777777" w:rsidR="00B545BF" w:rsidRPr="00EC39C7" w:rsidRDefault="00B545BF" w:rsidP="00E60C9A">
            <w:pPr>
              <w:tabs>
                <w:tab w:val="left" w:pos="0"/>
                <w:tab w:val="decimal" w:pos="1219"/>
              </w:tabs>
              <w:jc w:val="both"/>
              <w:rPr>
                <w:b/>
                <w:bCs/>
                <w:sz w:val="20"/>
                <w:szCs w:val="20"/>
              </w:rPr>
            </w:pPr>
            <w:r w:rsidRPr="00EC39C7">
              <w:rPr>
                <w:b/>
                <w:bCs/>
                <w:sz w:val="20"/>
                <w:szCs w:val="20"/>
              </w:rPr>
              <w:tab/>
              <w:t>61-90 days</w:t>
            </w:r>
          </w:p>
        </w:tc>
        <w:tc>
          <w:tcPr>
            <w:tcW w:w="1522" w:type="dxa"/>
            <w:tcBorders>
              <w:top w:val="double" w:sz="4" w:space="0" w:color="auto"/>
              <w:bottom w:val="single" w:sz="4" w:space="0" w:color="auto"/>
            </w:tcBorders>
          </w:tcPr>
          <w:p w14:paraId="474D3DE2" w14:textId="77777777" w:rsidR="00B545BF" w:rsidRPr="00EC39C7" w:rsidRDefault="00B545BF" w:rsidP="00E60C9A">
            <w:pPr>
              <w:tabs>
                <w:tab w:val="left" w:pos="0"/>
                <w:tab w:val="decimal" w:pos="1219"/>
              </w:tabs>
              <w:jc w:val="both"/>
              <w:rPr>
                <w:b/>
                <w:bCs/>
                <w:sz w:val="20"/>
                <w:szCs w:val="20"/>
              </w:rPr>
            </w:pPr>
            <w:r w:rsidRPr="00EC39C7">
              <w:rPr>
                <w:b/>
                <w:bCs/>
                <w:sz w:val="20"/>
                <w:szCs w:val="20"/>
              </w:rPr>
              <w:tab/>
              <w:t>Over 90 days</w:t>
            </w:r>
          </w:p>
        </w:tc>
        <w:tc>
          <w:tcPr>
            <w:tcW w:w="1523" w:type="dxa"/>
            <w:tcBorders>
              <w:top w:val="double" w:sz="4" w:space="0" w:color="auto"/>
              <w:bottom w:val="single" w:sz="4" w:space="0" w:color="auto"/>
            </w:tcBorders>
          </w:tcPr>
          <w:p w14:paraId="794BE895" w14:textId="77777777" w:rsidR="00B545BF" w:rsidRPr="00EC39C7" w:rsidRDefault="00B545BF" w:rsidP="00E60C9A">
            <w:pPr>
              <w:tabs>
                <w:tab w:val="left" w:pos="0"/>
                <w:tab w:val="decimal" w:pos="1219"/>
              </w:tabs>
              <w:jc w:val="both"/>
              <w:rPr>
                <w:b/>
                <w:bCs/>
                <w:sz w:val="20"/>
                <w:szCs w:val="20"/>
              </w:rPr>
            </w:pPr>
            <w:r w:rsidRPr="00EC39C7">
              <w:rPr>
                <w:b/>
                <w:bCs/>
                <w:sz w:val="20"/>
                <w:szCs w:val="20"/>
              </w:rPr>
              <w:tab/>
              <w:t>Total</w:t>
            </w:r>
          </w:p>
        </w:tc>
      </w:tr>
      <w:tr w:rsidR="00B545BF" w:rsidRPr="00EC39C7" w14:paraId="14809CF3" w14:textId="77777777" w:rsidTr="00E60C9A">
        <w:tc>
          <w:tcPr>
            <w:tcW w:w="2977" w:type="dxa"/>
            <w:tcBorders>
              <w:top w:val="single" w:sz="4" w:space="0" w:color="auto"/>
            </w:tcBorders>
          </w:tcPr>
          <w:p w14:paraId="105747F3" w14:textId="77777777" w:rsidR="00B545BF" w:rsidRPr="00EC39C7" w:rsidRDefault="00B545BF" w:rsidP="00E60C9A">
            <w:pPr>
              <w:jc w:val="both"/>
              <w:rPr>
                <w:sz w:val="20"/>
                <w:szCs w:val="20"/>
              </w:rPr>
            </w:pPr>
            <w:r w:rsidRPr="00EC39C7">
              <w:rPr>
                <w:sz w:val="20"/>
                <w:szCs w:val="20"/>
              </w:rPr>
              <w:t>Personal loans</w:t>
            </w:r>
          </w:p>
        </w:tc>
        <w:tc>
          <w:tcPr>
            <w:tcW w:w="1522" w:type="dxa"/>
            <w:tcBorders>
              <w:top w:val="single" w:sz="4" w:space="0" w:color="auto"/>
            </w:tcBorders>
          </w:tcPr>
          <w:p w14:paraId="7F6FDD10" w14:textId="429B8AC7"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16,258</w:t>
            </w:r>
          </w:p>
        </w:tc>
        <w:tc>
          <w:tcPr>
            <w:tcW w:w="1522" w:type="dxa"/>
            <w:tcBorders>
              <w:top w:val="single" w:sz="4" w:space="0" w:color="auto"/>
            </w:tcBorders>
          </w:tcPr>
          <w:p w14:paraId="018099F7" w14:textId="79B91E0D"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21,588</w:t>
            </w:r>
          </w:p>
        </w:tc>
        <w:tc>
          <w:tcPr>
            <w:tcW w:w="1522" w:type="dxa"/>
            <w:tcBorders>
              <w:top w:val="single" w:sz="4" w:space="0" w:color="auto"/>
            </w:tcBorders>
          </w:tcPr>
          <w:p w14:paraId="3D9F429E" w14:textId="0FECABD2"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227,843</w:t>
            </w:r>
          </w:p>
        </w:tc>
        <w:tc>
          <w:tcPr>
            <w:tcW w:w="1523" w:type="dxa"/>
            <w:tcBorders>
              <w:top w:val="single" w:sz="4" w:space="0" w:color="auto"/>
            </w:tcBorders>
          </w:tcPr>
          <w:p w14:paraId="21CB6F7C" w14:textId="1C2A53E4"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265,689</w:t>
            </w:r>
          </w:p>
        </w:tc>
      </w:tr>
      <w:tr w:rsidR="00B545BF" w:rsidRPr="00EC39C7" w14:paraId="61ED1B01" w14:textId="77777777" w:rsidTr="00E60C9A">
        <w:tc>
          <w:tcPr>
            <w:tcW w:w="2977" w:type="dxa"/>
            <w:tcBorders>
              <w:bottom w:val="single" w:sz="4" w:space="0" w:color="auto"/>
            </w:tcBorders>
          </w:tcPr>
          <w:p w14:paraId="2511D2E5" w14:textId="77777777" w:rsidR="00B545BF" w:rsidRPr="00EC39C7" w:rsidRDefault="00B545BF" w:rsidP="00E60C9A">
            <w:pPr>
              <w:jc w:val="both"/>
              <w:rPr>
                <w:sz w:val="20"/>
                <w:szCs w:val="20"/>
              </w:rPr>
            </w:pPr>
            <w:r w:rsidRPr="00EC39C7">
              <w:rPr>
                <w:sz w:val="20"/>
                <w:szCs w:val="20"/>
              </w:rPr>
              <w:t>Mortgages</w:t>
            </w:r>
          </w:p>
        </w:tc>
        <w:tc>
          <w:tcPr>
            <w:tcW w:w="1522" w:type="dxa"/>
            <w:tcBorders>
              <w:bottom w:val="single" w:sz="4" w:space="0" w:color="auto"/>
            </w:tcBorders>
          </w:tcPr>
          <w:p w14:paraId="37D47302" w14:textId="77777777" w:rsidR="00B545BF" w:rsidRPr="00EC39C7" w:rsidRDefault="00B545BF" w:rsidP="00E60C9A">
            <w:pPr>
              <w:tabs>
                <w:tab w:val="decimal" w:pos="1219"/>
              </w:tabs>
              <w:jc w:val="both"/>
              <w:rPr>
                <w:sz w:val="20"/>
                <w:szCs w:val="20"/>
              </w:rPr>
            </w:pPr>
            <w:r w:rsidRPr="00EC39C7">
              <w:rPr>
                <w:sz w:val="20"/>
                <w:szCs w:val="20"/>
              </w:rPr>
              <w:t>-</w:t>
            </w:r>
          </w:p>
        </w:tc>
        <w:tc>
          <w:tcPr>
            <w:tcW w:w="1522" w:type="dxa"/>
            <w:tcBorders>
              <w:bottom w:val="single" w:sz="4" w:space="0" w:color="auto"/>
            </w:tcBorders>
          </w:tcPr>
          <w:p w14:paraId="6C4CE911" w14:textId="77777777" w:rsidR="00B545BF" w:rsidRPr="00EC39C7" w:rsidRDefault="00B545BF" w:rsidP="00E60C9A">
            <w:pPr>
              <w:tabs>
                <w:tab w:val="decimal" w:pos="1219"/>
              </w:tabs>
              <w:jc w:val="both"/>
              <w:rPr>
                <w:sz w:val="20"/>
                <w:szCs w:val="20"/>
              </w:rPr>
            </w:pPr>
            <w:r w:rsidRPr="00EC39C7">
              <w:rPr>
                <w:sz w:val="20"/>
                <w:szCs w:val="20"/>
              </w:rPr>
              <w:t>-</w:t>
            </w:r>
          </w:p>
        </w:tc>
        <w:tc>
          <w:tcPr>
            <w:tcW w:w="1522" w:type="dxa"/>
            <w:tcBorders>
              <w:bottom w:val="single" w:sz="4" w:space="0" w:color="auto"/>
            </w:tcBorders>
          </w:tcPr>
          <w:p w14:paraId="5D962D1B" w14:textId="50F4FECA" w:rsidR="00B545BF" w:rsidRPr="00EC39C7" w:rsidRDefault="00EC39C7" w:rsidP="00E60C9A">
            <w:pPr>
              <w:tabs>
                <w:tab w:val="decimal" w:pos="1219"/>
              </w:tabs>
              <w:jc w:val="both"/>
              <w:rPr>
                <w:sz w:val="20"/>
                <w:szCs w:val="20"/>
              </w:rPr>
            </w:pPr>
            <w:r w:rsidRPr="00EC39C7">
              <w:rPr>
                <w:sz w:val="20"/>
                <w:szCs w:val="20"/>
              </w:rPr>
              <w:t>4,999</w:t>
            </w:r>
          </w:p>
        </w:tc>
        <w:tc>
          <w:tcPr>
            <w:tcW w:w="1523" w:type="dxa"/>
            <w:tcBorders>
              <w:bottom w:val="single" w:sz="4" w:space="0" w:color="auto"/>
            </w:tcBorders>
          </w:tcPr>
          <w:p w14:paraId="654D4F6E" w14:textId="25BB66A3" w:rsidR="00B545BF" w:rsidRPr="00EC39C7" w:rsidRDefault="00EC39C7" w:rsidP="00E60C9A">
            <w:pPr>
              <w:tabs>
                <w:tab w:val="decimal" w:pos="1219"/>
              </w:tabs>
              <w:jc w:val="both"/>
              <w:rPr>
                <w:sz w:val="20"/>
                <w:szCs w:val="20"/>
              </w:rPr>
            </w:pPr>
            <w:r w:rsidRPr="00EC39C7">
              <w:rPr>
                <w:sz w:val="20"/>
                <w:szCs w:val="20"/>
              </w:rPr>
              <w:t>4,999</w:t>
            </w:r>
          </w:p>
        </w:tc>
      </w:tr>
      <w:tr w:rsidR="00B545BF" w:rsidRPr="00EC39C7" w14:paraId="049C23A3" w14:textId="77777777" w:rsidTr="00E60C9A">
        <w:tc>
          <w:tcPr>
            <w:tcW w:w="2977" w:type="dxa"/>
            <w:tcBorders>
              <w:top w:val="single" w:sz="4" w:space="0" w:color="auto"/>
              <w:bottom w:val="double" w:sz="4" w:space="0" w:color="auto"/>
            </w:tcBorders>
          </w:tcPr>
          <w:p w14:paraId="6031F2B7" w14:textId="77777777" w:rsidR="00B545BF" w:rsidRPr="00EC39C7" w:rsidRDefault="00B545BF" w:rsidP="00E60C9A">
            <w:pPr>
              <w:jc w:val="both"/>
              <w:rPr>
                <w:sz w:val="20"/>
                <w:szCs w:val="20"/>
              </w:rPr>
            </w:pPr>
            <w:r w:rsidRPr="00EC39C7">
              <w:rPr>
                <w:sz w:val="20"/>
                <w:szCs w:val="20"/>
              </w:rPr>
              <w:t>Total past due, but not impaired</w:t>
            </w:r>
          </w:p>
        </w:tc>
        <w:tc>
          <w:tcPr>
            <w:tcW w:w="1522" w:type="dxa"/>
            <w:tcBorders>
              <w:top w:val="single" w:sz="4" w:space="0" w:color="auto"/>
              <w:bottom w:val="double" w:sz="4" w:space="0" w:color="auto"/>
            </w:tcBorders>
          </w:tcPr>
          <w:p w14:paraId="77395242" w14:textId="3074033C"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16,258</w:t>
            </w:r>
          </w:p>
        </w:tc>
        <w:tc>
          <w:tcPr>
            <w:tcW w:w="1522" w:type="dxa"/>
            <w:tcBorders>
              <w:top w:val="single" w:sz="4" w:space="0" w:color="auto"/>
              <w:bottom w:val="double" w:sz="4" w:space="0" w:color="auto"/>
            </w:tcBorders>
          </w:tcPr>
          <w:p w14:paraId="6D15B0E0" w14:textId="55FC4E94"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EC39C7" w:rsidRPr="00EC39C7">
              <w:rPr>
                <w:sz w:val="20"/>
                <w:szCs w:val="20"/>
              </w:rPr>
              <w:t>21,588</w:t>
            </w:r>
          </w:p>
        </w:tc>
        <w:tc>
          <w:tcPr>
            <w:tcW w:w="1522" w:type="dxa"/>
            <w:tcBorders>
              <w:top w:val="single" w:sz="4" w:space="0" w:color="auto"/>
              <w:bottom w:val="double" w:sz="4" w:space="0" w:color="auto"/>
            </w:tcBorders>
          </w:tcPr>
          <w:p w14:paraId="742F67CD" w14:textId="00390F87"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r>
            <w:r w:rsidR="00D10DE0" w:rsidRPr="00EC39C7">
              <w:rPr>
                <w:sz w:val="20"/>
                <w:szCs w:val="20"/>
              </w:rPr>
              <w:t>2</w:t>
            </w:r>
            <w:r w:rsidR="00EC39C7" w:rsidRPr="00EC39C7">
              <w:rPr>
                <w:sz w:val="20"/>
                <w:szCs w:val="20"/>
              </w:rPr>
              <w:t>32,842</w:t>
            </w:r>
          </w:p>
        </w:tc>
        <w:tc>
          <w:tcPr>
            <w:tcW w:w="1523" w:type="dxa"/>
            <w:tcBorders>
              <w:top w:val="single" w:sz="4" w:space="0" w:color="auto"/>
              <w:bottom w:val="double" w:sz="4" w:space="0" w:color="auto"/>
            </w:tcBorders>
          </w:tcPr>
          <w:p w14:paraId="59AE0900" w14:textId="32EED3DE" w:rsidR="00B545BF" w:rsidRPr="00EC39C7" w:rsidRDefault="00B545BF" w:rsidP="00E60C9A">
            <w:pPr>
              <w:tabs>
                <w:tab w:val="left" w:pos="0"/>
                <w:tab w:val="decimal" w:pos="1219"/>
              </w:tabs>
              <w:jc w:val="both"/>
              <w:rPr>
                <w:sz w:val="20"/>
                <w:szCs w:val="20"/>
              </w:rPr>
            </w:pPr>
            <w:r w:rsidRPr="00EC39C7">
              <w:rPr>
                <w:sz w:val="20"/>
                <w:szCs w:val="20"/>
              </w:rPr>
              <w:t>$</w:t>
            </w:r>
            <w:r w:rsidRPr="00EC39C7">
              <w:rPr>
                <w:sz w:val="20"/>
                <w:szCs w:val="20"/>
              </w:rPr>
              <w:tab/>
              <w:t>2</w:t>
            </w:r>
            <w:r w:rsidR="00EC39C7" w:rsidRPr="00EC39C7">
              <w:rPr>
                <w:sz w:val="20"/>
                <w:szCs w:val="20"/>
              </w:rPr>
              <w:t>70,688</w:t>
            </w:r>
          </w:p>
        </w:tc>
      </w:tr>
      <w:tr w:rsidR="00B545BF" w:rsidRPr="00EC39C7" w14:paraId="08967F39" w14:textId="77777777" w:rsidTr="00E60C9A">
        <w:tc>
          <w:tcPr>
            <w:tcW w:w="2977" w:type="dxa"/>
            <w:tcBorders>
              <w:top w:val="double" w:sz="4" w:space="0" w:color="auto"/>
            </w:tcBorders>
          </w:tcPr>
          <w:p w14:paraId="750FE77F" w14:textId="77777777" w:rsidR="00B545BF" w:rsidRPr="00EC39C7" w:rsidRDefault="00B545BF" w:rsidP="00E60C9A">
            <w:pPr>
              <w:jc w:val="both"/>
              <w:rPr>
                <w:sz w:val="20"/>
                <w:szCs w:val="20"/>
              </w:rPr>
            </w:pPr>
          </w:p>
        </w:tc>
        <w:tc>
          <w:tcPr>
            <w:tcW w:w="1522" w:type="dxa"/>
            <w:tcBorders>
              <w:top w:val="double" w:sz="4" w:space="0" w:color="auto"/>
            </w:tcBorders>
          </w:tcPr>
          <w:p w14:paraId="7E30F7AE" w14:textId="77777777" w:rsidR="00B545BF" w:rsidRPr="00EC39C7" w:rsidRDefault="00B545BF" w:rsidP="00E60C9A">
            <w:pPr>
              <w:tabs>
                <w:tab w:val="left" w:pos="0"/>
                <w:tab w:val="decimal" w:pos="1219"/>
              </w:tabs>
              <w:jc w:val="both"/>
              <w:rPr>
                <w:sz w:val="20"/>
                <w:szCs w:val="20"/>
              </w:rPr>
            </w:pPr>
          </w:p>
        </w:tc>
        <w:tc>
          <w:tcPr>
            <w:tcW w:w="1522" w:type="dxa"/>
            <w:tcBorders>
              <w:top w:val="double" w:sz="4" w:space="0" w:color="auto"/>
            </w:tcBorders>
          </w:tcPr>
          <w:p w14:paraId="379ADADA" w14:textId="77777777" w:rsidR="00B545BF" w:rsidRPr="00EC39C7" w:rsidRDefault="00B545BF" w:rsidP="00E60C9A">
            <w:pPr>
              <w:tabs>
                <w:tab w:val="left" w:pos="0"/>
                <w:tab w:val="decimal" w:pos="1219"/>
              </w:tabs>
              <w:jc w:val="both"/>
              <w:rPr>
                <w:sz w:val="20"/>
                <w:szCs w:val="20"/>
              </w:rPr>
            </w:pPr>
          </w:p>
        </w:tc>
        <w:tc>
          <w:tcPr>
            <w:tcW w:w="1522" w:type="dxa"/>
            <w:tcBorders>
              <w:top w:val="double" w:sz="4" w:space="0" w:color="auto"/>
            </w:tcBorders>
          </w:tcPr>
          <w:p w14:paraId="4ACAB4C9" w14:textId="77777777" w:rsidR="00B545BF" w:rsidRPr="00EC39C7" w:rsidRDefault="00B545BF" w:rsidP="00E60C9A">
            <w:pPr>
              <w:tabs>
                <w:tab w:val="left" w:pos="0"/>
                <w:tab w:val="decimal" w:pos="1219"/>
              </w:tabs>
              <w:jc w:val="both"/>
              <w:rPr>
                <w:sz w:val="20"/>
                <w:szCs w:val="20"/>
              </w:rPr>
            </w:pPr>
          </w:p>
        </w:tc>
        <w:tc>
          <w:tcPr>
            <w:tcW w:w="1523" w:type="dxa"/>
            <w:tcBorders>
              <w:top w:val="double" w:sz="4" w:space="0" w:color="auto"/>
            </w:tcBorders>
          </w:tcPr>
          <w:p w14:paraId="5D8669D2" w14:textId="77777777" w:rsidR="00B545BF" w:rsidRPr="00EC39C7" w:rsidRDefault="00B545BF" w:rsidP="00E60C9A">
            <w:pPr>
              <w:tabs>
                <w:tab w:val="left" w:pos="0"/>
                <w:tab w:val="decimal" w:pos="1219"/>
              </w:tabs>
              <w:jc w:val="both"/>
              <w:rPr>
                <w:sz w:val="20"/>
                <w:szCs w:val="20"/>
              </w:rPr>
            </w:pPr>
          </w:p>
        </w:tc>
      </w:tr>
      <w:tr w:rsidR="001449B7" w:rsidRPr="00EC39C7" w14:paraId="60358B26" w14:textId="77777777" w:rsidTr="00E60C9A">
        <w:tc>
          <w:tcPr>
            <w:tcW w:w="2977" w:type="dxa"/>
            <w:tcBorders>
              <w:bottom w:val="single" w:sz="4" w:space="0" w:color="auto"/>
            </w:tcBorders>
          </w:tcPr>
          <w:p w14:paraId="109B70B2" w14:textId="7957C9C4" w:rsidR="001449B7" w:rsidRPr="00EC39C7" w:rsidRDefault="001449B7" w:rsidP="001449B7">
            <w:pPr>
              <w:jc w:val="both"/>
              <w:rPr>
                <w:b/>
                <w:bCs/>
                <w:sz w:val="20"/>
                <w:szCs w:val="20"/>
              </w:rPr>
            </w:pPr>
            <w:r w:rsidRPr="00EC39C7">
              <w:rPr>
                <w:b/>
                <w:bCs/>
                <w:sz w:val="20"/>
                <w:szCs w:val="20"/>
              </w:rPr>
              <w:t>December 31, 2020</w:t>
            </w:r>
          </w:p>
        </w:tc>
        <w:tc>
          <w:tcPr>
            <w:tcW w:w="1522" w:type="dxa"/>
            <w:tcBorders>
              <w:bottom w:val="single" w:sz="4" w:space="0" w:color="auto"/>
            </w:tcBorders>
          </w:tcPr>
          <w:p w14:paraId="363F1EFA" w14:textId="4D409A4F" w:rsidR="001449B7" w:rsidRPr="00EC39C7" w:rsidRDefault="001449B7" w:rsidP="001449B7">
            <w:pPr>
              <w:tabs>
                <w:tab w:val="left" w:pos="0"/>
                <w:tab w:val="decimal" w:pos="1219"/>
              </w:tabs>
              <w:jc w:val="both"/>
              <w:rPr>
                <w:b/>
                <w:bCs/>
                <w:sz w:val="20"/>
                <w:szCs w:val="20"/>
              </w:rPr>
            </w:pPr>
            <w:r w:rsidRPr="00EC39C7">
              <w:rPr>
                <w:b/>
                <w:bCs/>
                <w:sz w:val="20"/>
                <w:szCs w:val="20"/>
              </w:rPr>
              <w:tab/>
              <w:t>30-60 days</w:t>
            </w:r>
          </w:p>
        </w:tc>
        <w:tc>
          <w:tcPr>
            <w:tcW w:w="1522" w:type="dxa"/>
            <w:tcBorders>
              <w:bottom w:val="single" w:sz="4" w:space="0" w:color="auto"/>
            </w:tcBorders>
          </w:tcPr>
          <w:p w14:paraId="2E942D25" w14:textId="5B204B43" w:rsidR="001449B7" w:rsidRPr="00EC39C7" w:rsidRDefault="001449B7" w:rsidP="001449B7">
            <w:pPr>
              <w:tabs>
                <w:tab w:val="left" w:pos="0"/>
                <w:tab w:val="decimal" w:pos="1219"/>
              </w:tabs>
              <w:jc w:val="both"/>
              <w:rPr>
                <w:b/>
                <w:bCs/>
                <w:sz w:val="20"/>
                <w:szCs w:val="20"/>
              </w:rPr>
            </w:pPr>
            <w:r w:rsidRPr="00EC39C7">
              <w:rPr>
                <w:b/>
                <w:bCs/>
                <w:sz w:val="20"/>
                <w:szCs w:val="20"/>
              </w:rPr>
              <w:tab/>
              <w:t>61-90 days</w:t>
            </w:r>
          </w:p>
        </w:tc>
        <w:tc>
          <w:tcPr>
            <w:tcW w:w="1522" w:type="dxa"/>
            <w:tcBorders>
              <w:bottom w:val="single" w:sz="4" w:space="0" w:color="auto"/>
            </w:tcBorders>
          </w:tcPr>
          <w:p w14:paraId="0594B37F" w14:textId="33C7ECEC" w:rsidR="001449B7" w:rsidRPr="00EC39C7" w:rsidRDefault="001449B7" w:rsidP="001449B7">
            <w:pPr>
              <w:tabs>
                <w:tab w:val="left" w:pos="0"/>
                <w:tab w:val="decimal" w:pos="1219"/>
              </w:tabs>
              <w:jc w:val="both"/>
              <w:rPr>
                <w:b/>
                <w:bCs/>
                <w:sz w:val="20"/>
                <w:szCs w:val="20"/>
              </w:rPr>
            </w:pPr>
            <w:r w:rsidRPr="00EC39C7">
              <w:rPr>
                <w:b/>
                <w:bCs/>
                <w:sz w:val="20"/>
                <w:szCs w:val="20"/>
              </w:rPr>
              <w:tab/>
              <w:t>Over 90 days</w:t>
            </w:r>
          </w:p>
        </w:tc>
        <w:tc>
          <w:tcPr>
            <w:tcW w:w="1523" w:type="dxa"/>
            <w:tcBorders>
              <w:bottom w:val="single" w:sz="4" w:space="0" w:color="auto"/>
            </w:tcBorders>
          </w:tcPr>
          <w:p w14:paraId="34B6B474" w14:textId="792A89E4" w:rsidR="001449B7" w:rsidRPr="00EC39C7" w:rsidRDefault="001449B7" w:rsidP="001449B7">
            <w:pPr>
              <w:tabs>
                <w:tab w:val="left" w:pos="0"/>
                <w:tab w:val="decimal" w:pos="1219"/>
              </w:tabs>
              <w:jc w:val="both"/>
              <w:rPr>
                <w:b/>
                <w:bCs/>
                <w:sz w:val="20"/>
                <w:szCs w:val="20"/>
              </w:rPr>
            </w:pPr>
            <w:r w:rsidRPr="00EC39C7">
              <w:rPr>
                <w:b/>
                <w:bCs/>
                <w:sz w:val="20"/>
                <w:szCs w:val="20"/>
              </w:rPr>
              <w:tab/>
              <w:t>Total</w:t>
            </w:r>
          </w:p>
        </w:tc>
      </w:tr>
      <w:tr w:rsidR="001449B7" w:rsidRPr="00EC39C7" w14:paraId="72459FFA" w14:textId="77777777" w:rsidTr="001449B7">
        <w:tc>
          <w:tcPr>
            <w:tcW w:w="2977" w:type="dxa"/>
            <w:tcBorders>
              <w:top w:val="single" w:sz="4" w:space="0" w:color="auto"/>
            </w:tcBorders>
          </w:tcPr>
          <w:p w14:paraId="012815D0" w14:textId="3BF6665D" w:rsidR="001449B7" w:rsidRPr="00EC39C7" w:rsidRDefault="001449B7" w:rsidP="001449B7">
            <w:pPr>
              <w:jc w:val="both"/>
              <w:rPr>
                <w:sz w:val="20"/>
                <w:szCs w:val="20"/>
              </w:rPr>
            </w:pPr>
            <w:r w:rsidRPr="00EC39C7">
              <w:rPr>
                <w:sz w:val="20"/>
                <w:szCs w:val="20"/>
              </w:rPr>
              <w:t>Personal loans</w:t>
            </w:r>
          </w:p>
        </w:tc>
        <w:tc>
          <w:tcPr>
            <w:tcW w:w="1522" w:type="dxa"/>
            <w:tcBorders>
              <w:top w:val="single" w:sz="4" w:space="0" w:color="auto"/>
            </w:tcBorders>
          </w:tcPr>
          <w:p w14:paraId="79D97A57" w14:textId="02C805D7"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46,271</w:t>
            </w:r>
          </w:p>
        </w:tc>
        <w:tc>
          <w:tcPr>
            <w:tcW w:w="1522" w:type="dxa"/>
            <w:tcBorders>
              <w:top w:val="single" w:sz="4" w:space="0" w:color="auto"/>
            </w:tcBorders>
          </w:tcPr>
          <w:p w14:paraId="27375B23" w14:textId="39C600CE"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23,632</w:t>
            </w:r>
          </w:p>
        </w:tc>
        <w:tc>
          <w:tcPr>
            <w:tcW w:w="1522" w:type="dxa"/>
            <w:tcBorders>
              <w:top w:val="single" w:sz="4" w:space="0" w:color="auto"/>
            </w:tcBorders>
          </w:tcPr>
          <w:p w14:paraId="11B01294" w14:textId="0216734A"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155,225</w:t>
            </w:r>
          </w:p>
        </w:tc>
        <w:tc>
          <w:tcPr>
            <w:tcW w:w="1523" w:type="dxa"/>
            <w:tcBorders>
              <w:top w:val="single" w:sz="4" w:space="0" w:color="auto"/>
            </w:tcBorders>
          </w:tcPr>
          <w:p w14:paraId="2AC56878" w14:textId="0002B3ED"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225,128</w:t>
            </w:r>
          </w:p>
        </w:tc>
      </w:tr>
      <w:tr w:rsidR="001449B7" w:rsidRPr="00EC39C7" w14:paraId="0A6AC2CD" w14:textId="77777777" w:rsidTr="001449B7">
        <w:tc>
          <w:tcPr>
            <w:tcW w:w="2977" w:type="dxa"/>
            <w:tcBorders>
              <w:bottom w:val="single" w:sz="4" w:space="0" w:color="auto"/>
            </w:tcBorders>
          </w:tcPr>
          <w:p w14:paraId="14006199" w14:textId="301C4A54" w:rsidR="001449B7" w:rsidRPr="00EC39C7" w:rsidRDefault="001449B7" w:rsidP="001449B7">
            <w:pPr>
              <w:jc w:val="both"/>
              <w:rPr>
                <w:sz w:val="20"/>
                <w:szCs w:val="20"/>
              </w:rPr>
            </w:pPr>
            <w:r w:rsidRPr="00EC39C7">
              <w:rPr>
                <w:sz w:val="20"/>
                <w:szCs w:val="20"/>
              </w:rPr>
              <w:t>Mortgages</w:t>
            </w:r>
          </w:p>
        </w:tc>
        <w:tc>
          <w:tcPr>
            <w:tcW w:w="1522" w:type="dxa"/>
            <w:tcBorders>
              <w:bottom w:val="single" w:sz="4" w:space="0" w:color="auto"/>
            </w:tcBorders>
          </w:tcPr>
          <w:p w14:paraId="6DACE014" w14:textId="17AB450B" w:rsidR="001449B7" w:rsidRPr="00EC39C7" w:rsidRDefault="001449B7" w:rsidP="001449B7">
            <w:pPr>
              <w:tabs>
                <w:tab w:val="left" w:pos="0"/>
                <w:tab w:val="decimal" w:pos="1219"/>
              </w:tabs>
              <w:jc w:val="both"/>
              <w:rPr>
                <w:sz w:val="20"/>
                <w:szCs w:val="20"/>
              </w:rPr>
            </w:pPr>
            <w:r w:rsidRPr="00EC39C7">
              <w:rPr>
                <w:sz w:val="20"/>
                <w:szCs w:val="20"/>
              </w:rPr>
              <w:tab/>
              <w:t>-</w:t>
            </w:r>
          </w:p>
        </w:tc>
        <w:tc>
          <w:tcPr>
            <w:tcW w:w="1522" w:type="dxa"/>
            <w:tcBorders>
              <w:bottom w:val="single" w:sz="4" w:space="0" w:color="auto"/>
            </w:tcBorders>
          </w:tcPr>
          <w:p w14:paraId="1C1D53A2" w14:textId="57CABC6B" w:rsidR="001449B7" w:rsidRPr="00EC39C7" w:rsidRDefault="001449B7" w:rsidP="001449B7">
            <w:pPr>
              <w:tabs>
                <w:tab w:val="left" w:pos="0"/>
                <w:tab w:val="decimal" w:pos="1219"/>
              </w:tabs>
              <w:jc w:val="both"/>
              <w:rPr>
                <w:sz w:val="20"/>
                <w:szCs w:val="20"/>
              </w:rPr>
            </w:pPr>
            <w:r w:rsidRPr="00EC39C7">
              <w:rPr>
                <w:sz w:val="20"/>
                <w:szCs w:val="20"/>
              </w:rPr>
              <w:tab/>
              <w:t>-</w:t>
            </w:r>
          </w:p>
        </w:tc>
        <w:tc>
          <w:tcPr>
            <w:tcW w:w="1522" w:type="dxa"/>
            <w:tcBorders>
              <w:bottom w:val="single" w:sz="4" w:space="0" w:color="auto"/>
            </w:tcBorders>
          </w:tcPr>
          <w:p w14:paraId="2C1E24C7" w14:textId="1615A795" w:rsidR="001449B7" w:rsidRPr="00EC39C7" w:rsidRDefault="001449B7" w:rsidP="001449B7">
            <w:pPr>
              <w:tabs>
                <w:tab w:val="left" w:pos="0"/>
                <w:tab w:val="decimal" w:pos="1219"/>
              </w:tabs>
              <w:jc w:val="both"/>
              <w:rPr>
                <w:sz w:val="20"/>
                <w:szCs w:val="20"/>
              </w:rPr>
            </w:pPr>
            <w:r w:rsidRPr="00EC39C7">
              <w:rPr>
                <w:sz w:val="20"/>
                <w:szCs w:val="20"/>
              </w:rPr>
              <w:tab/>
              <w:t>8,747</w:t>
            </w:r>
          </w:p>
        </w:tc>
        <w:tc>
          <w:tcPr>
            <w:tcW w:w="1523" w:type="dxa"/>
            <w:tcBorders>
              <w:bottom w:val="single" w:sz="4" w:space="0" w:color="auto"/>
            </w:tcBorders>
          </w:tcPr>
          <w:p w14:paraId="1B759F3E" w14:textId="6A77EEEB" w:rsidR="001449B7" w:rsidRPr="00EC39C7" w:rsidRDefault="001449B7" w:rsidP="001449B7">
            <w:pPr>
              <w:tabs>
                <w:tab w:val="left" w:pos="0"/>
                <w:tab w:val="decimal" w:pos="1219"/>
              </w:tabs>
              <w:jc w:val="both"/>
              <w:rPr>
                <w:sz w:val="20"/>
                <w:szCs w:val="20"/>
              </w:rPr>
            </w:pPr>
            <w:r w:rsidRPr="00EC39C7">
              <w:rPr>
                <w:sz w:val="20"/>
                <w:szCs w:val="20"/>
              </w:rPr>
              <w:tab/>
              <w:t>8,747</w:t>
            </w:r>
          </w:p>
        </w:tc>
      </w:tr>
      <w:tr w:rsidR="001449B7" w:rsidRPr="0007463E" w14:paraId="7F426D89" w14:textId="77777777" w:rsidTr="001449B7">
        <w:tc>
          <w:tcPr>
            <w:tcW w:w="2977" w:type="dxa"/>
            <w:tcBorders>
              <w:top w:val="single" w:sz="4" w:space="0" w:color="auto"/>
              <w:bottom w:val="double" w:sz="4" w:space="0" w:color="auto"/>
            </w:tcBorders>
          </w:tcPr>
          <w:p w14:paraId="74173899" w14:textId="423A837A" w:rsidR="001449B7" w:rsidRPr="00EC39C7" w:rsidRDefault="001449B7" w:rsidP="001449B7">
            <w:pPr>
              <w:jc w:val="both"/>
              <w:rPr>
                <w:sz w:val="20"/>
                <w:szCs w:val="20"/>
              </w:rPr>
            </w:pPr>
            <w:r w:rsidRPr="00EC39C7">
              <w:rPr>
                <w:sz w:val="20"/>
                <w:szCs w:val="20"/>
              </w:rPr>
              <w:t>Total past due, but not impaired</w:t>
            </w:r>
          </w:p>
        </w:tc>
        <w:tc>
          <w:tcPr>
            <w:tcW w:w="1522" w:type="dxa"/>
            <w:tcBorders>
              <w:top w:val="single" w:sz="4" w:space="0" w:color="auto"/>
              <w:bottom w:val="double" w:sz="4" w:space="0" w:color="auto"/>
            </w:tcBorders>
          </w:tcPr>
          <w:p w14:paraId="39E32C4F" w14:textId="02E57947"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46,271</w:t>
            </w:r>
          </w:p>
        </w:tc>
        <w:tc>
          <w:tcPr>
            <w:tcW w:w="1522" w:type="dxa"/>
            <w:tcBorders>
              <w:top w:val="single" w:sz="4" w:space="0" w:color="auto"/>
              <w:bottom w:val="double" w:sz="4" w:space="0" w:color="auto"/>
            </w:tcBorders>
          </w:tcPr>
          <w:p w14:paraId="5B27ADBC" w14:textId="6324ABE8"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23,632</w:t>
            </w:r>
          </w:p>
        </w:tc>
        <w:tc>
          <w:tcPr>
            <w:tcW w:w="1522" w:type="dxa"/>
            <w:tcBorders>
              <w:top w:val="single" w:sz="4" w:space="0" w:color="auto"/>
              <w:bottom w:val="double" w:sz="4" w:space="0" w:color="auto"/>
            </w:tcBorders>
          </w:tcPr>
          <w:p w14:paraId="1C40F9BD" w14:textId="1164402E"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163,972</w:t>
            </w:r>
          </w:p>
        </w:tc>
        <w:tc>
          <w:tcPr>
            <w:tcW w:w="1523" w:type="dxa"/>
            <w:tcBorders>
              <w:top w:val="single" w:sz="4" w:space="0" w:color="auto"/>
              <w:bottom w:val="double" w:sz="4" w:space="0" w:color="auto"/>
            </w:tcBorders>
          </w:tcPr>
          <w:p w14:paraId="03B9857B" w14:textId="44E3992B" w:rsidR="001449B7" w:rsidRPr="00EC39C7" w:rsidRDefault="001449B7" w:rsidP="001449B7">
            <w:pPr>
              <w:tabs>
                <w:tab w:val="left" w:pos="0"/>
                <w:tab w:val="decimal" w:pos="1219"/>
              </w:tabs>
              <w:jc w:val="both"/>
              <w:rPr>
                <w:sz w:val="20"/>
                <w:szCs w:val="20"/>
              </w:rPr>
            </w:pPr>
            <w:r w:rsidRPr="00EC39C7">
              <w:rPr>
                <w:sz w:val="20"/>
                <w:szCs w:val="20"/>
              </w:rPr>
              <w:t>$</w:t>
            </w:r>
            <w:r w:rsidRPr="00EC39C7">
              <w:rPr>
                <w:sz w:val="20"/>
                <w:szCs w:val="20"/>
              </w:rPr>
              <w:tab/>
              <w:t>233,875</w:t>
            </w:r>
          </w:p>
        </w:tc>
      </w:tr>
      <w:tr w:rsidR="00B545BF" w:rsidRPr="0007463E" w14:paraId="0EBB230A" w14:textId="77777777" w:rsidTr="00E60C9A">
        <w:tc>
          <w:tcPr>
            <w:tcW w:w="2977" w:type="dxa"/>
            <w:tcBorders>
              <w:top w:val="double" w:sz="4" w:space="0" w:color="auto"/>
            </w:tcBorders>
          </w:tcPr>
          <w:p w14:paraId="32712744" w14:textId="77777777" w:rsidR="00B545BF" w:rsidRPr="0007463E" w:rsidRDefault="00B545BF" w:rsidP="00E60C9A">
            <w:pPr>
              <w:jc w:val="both"/>
              <w:rPr>
                <w:sz w:val="20"/>
                <w:szCs w:val="20"/>
                <w:highlight w:val="yellow"/>
              </w:rPr>
            </w:pPr>
          </w:p>
        </w:tc>
        <w:tc>
          <w:tcPr>
            <w:tcW w:w="1522" w:type="dxa"/>
            <w:tcBorders>
              <w:top w:val="double" w:sz="4" w:space="0" w:color="auto"/>
            </w:tcBorders>
          </w:tcPr>
          <w:p w14:paraId="39FC3757" w14:textId="77777777" w:rsidR="00B545BF" w:rsidRPr="0007463E" w:rsidRDefault="00B545BF" w:rsidP="00E60C9A">
            <w:pPr>
              <w:tabs>
                <w:tab w:val="left" w:pos="0"/>
                <w:tab w:val="decimal" w:pos="1219"/>
              </w:tabs>
              <w:jc w:val="both"/>
              <w:rPr>
                <w:sz w:val="20"/>
                <w:szCs w:val="20"/>
                <w:highlight w:val="yellow"/>
              </w:rPr>
            </w:pPr>
          </w:p>
        </w:tc>
        <w:tc>
          <w:tcPr>
            <w:tcW w:w="1522" w:type="dxa"/>
            <w:tcBorders>
              <w:top w:val="double" w:sz="4" w:space="0" w:color="auto"/>
            </w:tcBorders>
          </w:tcPr>
          <w:p w14:paraId="1BE3E411" w14:textId="77777777" w:rsidR="00B545BF" w:rsidRPr="0007463E" w:rsidRDefault="00B545BF" w:rsidP="00E60C9A">
            <w:pPr>
              <w:tabs>
                <w:tab w:val="left" w:pos="0"/>
                <w:tab w:val="decimal" w:pos="1219"/>
              </w:tabs>
              <w:jc w:val="both"/>
              <w:rPr>
                <w:sz w:val="20"/>
                <w:szCs w:val="20"/>
                <w:highlight w:val="yellow"/>
              </w:rPr>
            </w:pPr>
          </w:p>
        </w:tc>
        <w:tc>
          <w:tcPr>
            <w:tcW w:w="1522" w:type="dxa"/>
            <w:tcBorders>
              <w:top w:val="double" w:sz="4" w:space="0" w:color="auto"/>
            </w:tcBorders>
          </w:tcPr>
          <w:p w14:paraId="10B12364" w14:textId="77777777" w:rsidR="00B545BF" w:rsidRPr="0007463E" w:rsidRDefault="00B545BF" w:rsidP="00E60C9A">
            <w:pPr>
              <w:tabs>
                <w:tab w:val="left" w:pos="0"/>
                <w:tab w:val="decimal" w:pos="1219"/>
              </w:tabs>
              <w:jc w:val="both"/>
              <w:rPr>
                <w:sz w:val="20"/>
                <w:szCs w:val="20"/>
                <w:highlight w:val="yellow"/>
              </w:rPr>
            </w:pPr>
          </w:p>
        </w:tc>
        <w:tc>
          <w:tcPr>
            <w:tcW w:w="1523" w:type="dxa"/>
            <w:tcBorders>
              <w:top w:val="double" w:sz="4" w:space="0" w:color="auto"/>
            </w:tcBorders>
          </w:tcPr>
          <w:p w14:paraId="76A7642E" w14:textId="77777777" w:rsidR="00B545BF" w:rsidRPr="0007463E" w:rsidRDefault="00B545BF" w:rsidP="00E60C9A">
            <w:pPr>
              <w:tabs>
                <w:tab w:val="left" w:pos="0"/>
                <w:tab w:val="decimal" w:pos="1219"/>
              </w:tabs>
              <w:jc w:val="both"/>
              <w:rPr>
                <w:sz w:val="20"/>
                <w:szCs w:val="20"/>
                <w:highlight w:val="yellow"/>
              </w:rPr>
            </w:pPr>
          </w:p>
        </w:tc>
      </w:tr>
    </w:tbl>
    <w:p w14:paraId="4AF33C54" w14:textId="77777777" w:rsidR="00371BEA" w:rsidRPr="006221F3" w:rsidRDefault="00371BEA" w:rsidP="00371BEA">
      <w:pPr>
        <w:ind w:left="284"/>
        <w:jc w:val="both"/>
        <w:rPr>
          <w:b/>
          <w:bCs/>
          <w:sz w:val="20"/>
          <w:szCs w:val="20"/>
        </w:rPr>
      </w:pPr>
      <w:r w:rsidRPr="006221F3">
        <w:rPr>
          <w:b/>
          <w:bCs/>
          <w:sz w:val="20"/>
          <w:szCs w:val="20"/>
        </w:rPr>
        <w:t>Contractual maturities</w:t>
      </w:r>
    </w:p>
    <w:p w14:paraId="705E45CB" w14:textId="77777777" w:rsidR="00371BEA" w:rsidRPr="006221F3" w:rsidRDefault="00371BEA" w:rsidP="00371BEA">
      <w:pPr>
        <w:ind w:left="284"/>
        <w:jc w:val="both"/>
        <w:rPr>
          <w:b/>
          <w:bCs/>
          <w:sz w:val="20"/>
          <w:szCs w:val="20"/>
        </w:rPr>
      </w:pPr>
    </w:p>
    <w:tbl>
      <w:tblPr>
        <w:tblW w:w="4848" w:type="pct"/>
        <w:tblInd w:w="284" w:type="dxa"/>
        <w:tblLayout w:type="fixed"/>
        <w:tblLook w:val="04A0" w:firstRow="1" w:lastRow="0" w:firstColumn="1" w:lastColumn="0" w:noHBand="0" w:noVBand="1"/>
      </w:tblPr>
      <w:tblGrid>
        <w:gridCol w:w="3279"/>
        <w:gridCol w:w="1451"/>
        <w:gridCol w:w="1449"/>
        <w:gridCol w:w="1448"/>
        <w:gridCol w:w="1448"/>
      </w:tblGrid>
      <w:tr w:rsidR="00371BEA" w:rsidRPr="006221F3" w14:paraId="2CDAC0CC" w14:textId="77777777" w:rsidTr="00BA2C24">
        <w:trPr>
          <w:trHeight w:val="276"/>
        </w:trPr>
        <w:tc>
          <w:tcPr>
            <w:tcW w:w="1806" w:type="pct"/>
            <w:tcBorders>
              <w:top w:val="double" w:sz="6" w:space="0" w:color="auto"/>
              <w:left w:val="nil"/>
              <w:bottom w:val="single" w:sz="4" w:space="0" w:color="auto"/>
              <w:right w:val="nil"/>
            </w:tcBorders>
            <w:shd w:val="clear" w:color="auto" w:fill="auto"/>
            <w:vAlign w:val="center"/>
            <w:hideMark/>
          </w:tcPr>
          <w:p w14:paraId="6BA8706F" w14:textId="77777777" w:rsidR="00371BEA" w:rsidRPr="006221F3" w:rsidRDefault="00371BEA" w:rsidP="00BA2C24">
            <w:pPr>
              <w:jc w:val="both"/>
              <w:rPr>
                <w:color w:val="000000"/>
                <w:sz w:val="20"/>
                <w:szCs w:val="20"/>
              </w:rPr>
            </w:pPr>
            <w:r w:rsidRPr="006221F3">
              <w:rPr>
                <w:color w:val="000000"/>
                <w:sz w:val="20"/>
                <w:szCs w:val="20"/>
              </w:rPr>
              <w:t> </w:t>
            </w:r>
          </w:p>
        </w:tc>
        <w:tc>
          <w:tcPr>
            <w:tcW w:w="799" w:type="pct"/>
            <w:tcBorders>
              <w:top w:val="double" w:sz="6" w:space="0" w:color="auto"/>
              <w:left w:val="nil"/>
              <w:bottom w:val="single" w:sz="4" w:space="0" w:color="auto"/>
              <w:right w:val="nil"/>
            </w:tcBorders>
            <w:shd w:val="clear" w:color="auto" w:fill="auto"/>
            <w:vAlign w:val="center"/>
            <w:hideMark/>
          </w:tcPr>
          <w:p w14:paraId="37EE3D8C" w14:textId="77777777" w:rsidR="00371BEA" w:rsidRPr="006221F3" w:rsidRDefault="00371BEA" w:rsidP="00BA2C24">
            <w:pPr>
              <w:jc w:val="right"/>
              <w:rPr>
                <w:b/>
                <w:bCs/>
                <w:color w:val="000000"/>
                <w:sz w:val="20"/>
                <w:szCs w:val="20"/>
              </w:rPr>
            </w:pPr>
            <w:r w:rsidRPr="006221F3">
              <w:rPr>
                <w:b/>
                <w:bCs/>
                <w:color w:val="000000"/>
                <w:sz w:val="20"/>
                <w:szCs w:val="20"/>
              </w:rPr>
              <w:t>Under 1 year</w:t>
            </w:r>
          </w:p>
        </w:tc>
        <w:tc>
          <w:tcPr>
            <w:tcW w:w="798" w:type="pct"/>
            <w:tcBorders>
              <w:top w:val="double" w:sz="6" w:space="0" w:color="auto"/>
              <w:left w:val="nil"/>
              <w:bottom w:val="single" w:sz="4" w:space="0" w:color="auto"/>
              <w:right w:val="nil"/>
            </w:tcBorders>
            <w:shd w:val="clear" w:color="auto" w:fill="auto"/>
            <w:vAlign w:val="center"/>
            <w:hideMark/>
          </w:tcPr>
          <w:p w14:paraId="49BBFB00" w14:textId="77777777" w:rsidR="00371BEA" w:rsidRPr="006221F3" w:rsidRDefault="00371BEA" w:rsidP="00BA2C24">
            <w:pPr>
              <w:jc w:val="right"/>
              <w:rPr>
                <w:b/>
                <w:bCs/>
                <w:color w:val="000000"/>
                <w:sz w:val="20"/>
                <w:szCs w:val="20"/>
              </w:rPr>
            </w:pPr>
            <w:r w:rsidRPr="006221F3">
              <w:rPr>
                <w:b/>
                <w:bCs/>
                <w:color w:val="000000"/>
                <w:sz w:val="20"/>
                <w:szCs w:val="20"/>
              </w:rPr>
              <w:t>1-5 years</w:t>
            </w:r>
          </w:p>
        </w:tc>
        <w:tc>
          <w:tcPr>
            <w:tcW w:w="798" w:type="pct"/>
            <w:tcBorders>
              <w:top w:val="double" w:sz="6" w:space="0" w:color="auto"/>
              <w:left w:val="nil"/>
              <w:bottom w:val="single" w:sz="4" w:space="0" w:color="auto"/>
              <w:right w:val="nil"/>
            </w:tcBorders>
            <w:shd w:val="clear" w:color="auto" w:fill="auto"/>
            <w:vAlign w:val="center"/>
            <w:hideMark/>
          </w:tcPr>
          <w:p w14:paraId="4B99125B" w14:textId="77777777" w:rsidR="00371BEA" w:rsidRPr="006221F3" w:rsidRDefault="00371BEA" w:rsidP="00BA2C24">
            <w:pPr>
              <w:jc w:val="right"/>
              <w:rPr>
                <w:b/>
                <w:bCs/>
                <w:color w:val="000000"/>
                <w:sz w:val="20"/>
                <w:szCs w:val="20"/>
              </w:rPr>
            </w:pPr>
            <w:r w:rsidRPr="006221F3">
              <w:rPr>
                <w:b/>
                <w:bCs/>
                <w:color w:val="000000"/>
                <w:sz w:val="20"/>
                <w:szCs w:val="20"/>
              </w:rPr>
              <w:t>Over 5 years</w:t>
            </w:r>
          </w:p>
        </w:tc>
        <w:tc>
          <w:tcPr>
            <w:tcW w:w="798" w:type="pct"/>
            <w:tcBorders>
              <w:top w:val="double" w:sz="6" w:space="0" w:color="auto"/>
              <w:left w:val="nil"/>
              <w:bottom w:val="single" w:sz="4" w:space="0" w:color="auto"/>
              <w:right w:val="nil"/>
            </w:tcBorders>
            <w:shd w:val="clear" w:color="auto" w:fill="auto"/>
            <w:vAlign w:val="center"/>
            <w:hideMark/>
          </w:tcPr>
          <w:p w14:paraId="4A62015A" w14:textId="77777777" w:rsidR="00371BEA" w:rsidRPr="006221F3" w:rsidRDefault="00371BEA" w:rsidP="00BA2C24">
            <w:pPr>
              <w:jc w:val="right"/>
              <w:rPr>
                <w:b/>
                <w:bCs/>
                <w:color w:val="000000"/>
                <w:sz w:val="20"/>
                <w:szCs w:val="20"/>
              </w:rPr>
            </w:pPr>
            <w:r w:rsidRPr="006221F3">
              <w:rPr>
                <w:b/>
                <w:bCs/>
                <w:color w:val="000000"/>
                <w:sz w:val="20"/>
                <w:szCs w:val="20"/>
              </w:rPr>
              <w:t>Total</w:t>
            </w:r>
          </w:p>
        </w:tc>
      </w:tr>
      <w:tr w:rsidR="00371BEA" w:rsidRPr="006221F3" w14:paraId="4A93BBF7" w14:textId="77777777" w:rsidTr="00BA2C24">
        <w:trPr>
          <w:trHeight w:val="264"/>
        </w:trPr>
        <w:tc>
          <w:tcPr>
            <w:tcW w:w="1806" w:type="pct"/>
            <w:tcBorders>
              <w:top w:val="nil"/>
              <w:left w:val="nil"/>
              <w:bottom w:val="nil"/>
              <w:right w:val="nil"/>
            </w:tcBorders>
            <w:shd w:val="clear" w:color="auto" w:fill="auto"/>
            <w:vAlign w:val="center"/>
            <w:hideMark/>
          </w:tcPr>
          <w:p w14:paraId="5F23298D" w14:textId="77777777" w:rsidR="00371BEA" w:rsidRPr="006221F3" w:rsidRDefault="00371BEA" w:rsidP="00BA2C24">
            <w:pPr>
              <w:jc w:val="both"/>
              <w:rPr>
                <w:color w:val="000000"/>
                <w:sz w:val="20"/>
                <w:szCs w:val="20"/>
              </w:rPr>
            </w:pPr>
            <w:r w:rsidRPr="006221F3">
              <w:rPr>
                <w:color w:val="000000"/>
                <w:sz w:val="20"/>
                <w:szCs w:val="20"/>
              </w:rPr>
              <w:t>Unsecured personal loans</w:t>
            </w:r>
          </w:p>
        </w:tc>
        <w:tc>
          <w:tcPr>
            <w:tcW w:w="799" w:type="pct"/>
            <w:tcBorders>
              <w:top w:val="nil"/>
              <w:left w:val="nil"/>
              <w:bottom w:val="nil"/>
              <w:right w:val="nil"/>
            </w:tcBorders>
            <w:shd w:val="clear" w:color="auto" w:fill="auto"/>
            <w:noWrap/>
            <w:vAlign w:val="bottom"/>
            <w:hideMark/>
          </w:tcPr>
          <w:p w14:paraId="62FDDF16" w14:textId="6DF44A5A" w:rsidR="00371BEA" w:rsidRPr="006221F3" w:rsidRDefault="00371BEA" w:rsidP="00BA2C24">
            <w:pPr>
              <w:jc w:val="right"/>
              <w:rPr>
                <w:color w:val="000000"/>
                <w:sz w:val="20"/>
                <w:szCs w:val="20"/>
              </w:rPr>
            </w:pPr>
            <w:r w:rsidRPr="006221F3">
              <w:rPr>
                <w:color w:val="000000"/>
                <w:sz w:val="20"/>
                <w:szCs w:val="20"/>
              </w:rPr>
              <w:t xml:space="preserve">$        </w:t>
            </w:r>
            <w:r w:rsidR="006221F3" w:rsidRPr="006221F3">
              <w:rPr>
                <w:color w:val="000000"/>
                <w:sz w:val="20"/>
                <w:szCs w:val="20"/>
              </w:rPr>
              <w:t>635,560</w:t>
            </w:r>
          </w:p>
        </w:tc>
        <w:tc>
          <w:tcPr>
            <w:tcW w:w="798" w:type="pct"/>
            <w:tcBorders>
              <w:top w:val="nil"/>
              <w:left w:val="nil"/>
              <w:bottom w:val="nil"/>
              <w:right w:val="nil"/>
            </w:tcBorders>
            <w:shd w:val="clear" w:color="auto" w:fill="auto"/>
            <w:noWrap/>
            <w:vAlign w:val="bottom"/>
            <w:hideMark/>
          </w:tcPr>
          <w:p w14:paraId="4064392A" w14:textId="7BDF33DC" w:rsidR="00371BEA" w:rsidRPr="006221F3" w:rsidRDefault="00371BEA" w:rsidP="00BA2C24">
            <w:pPr>
              <w:jc w:val="right"/>
              <w:rPr>
                <w:color w:val="000000"/>
                <w:sz w:val="20"/>
                <w:szCs w:val="20"/>
              </w:rPr>
            </w:pPr>
            <w:r w:rsidRPr="006221F3">
              <w:rPr>
                <w:color w:val="000000"/>
                <w:sz w:val="20"/>
                <w:szCs w:val="20"/>
              </w:rPr>
              <w:t>$    1,</w:t>
            </w:r>
            <w:r w:rsidR="006221F3" w:rsidRPr="006221F3">
              <w:rPr>
                <w:color w:val="000000"/>
                <w:sz w:val="20"/>
                <w:szCs w:val="20"/>
              </w:rPr>
              <w:t>098,074</w:t>
            </w:r>
            <w:r w:rsidRPr="006221F3">
              <w:rPr>
                <w:color w:val="000000"/>
                <w:sz w:val="20"/>
                <w:szCs w:val="20"/>
              </w:rPr>
              <w:t xml:space="preserve"> </w:t>
            </w:r>
          </w:p>
        </w:tc>
        <w:tc>
          <w:tcPr>
            <w:tcW w:w="798" w:type="pct"/>
            <w:tcBorders>
              <w:top w:val="nil"/>
              <w:left w:val="nil"/>
              <w:bottom w:val="nil"/>
              <w:right w:val="nil"/>
            </w:tcBorders>
            <w:shd w:val="clear" w:color="auto" w:fill="auto"/>
            <w:noWrap/>
            <w:vAlign w:val="bottom"/>
            <w:hideMark/>
          </w:tcPr>
          <w:p w14:paraId="5FF1E8DB" w14:textId="2BC21565" w:rsidR="00371BEA" w:rsidRPr="006221F3" w:rsidRDefault="00371BEA" w:rsidP="00BA2C24">
            <w:pPr>
              <w:jc w:val="right"/>
              <w:rPr>
                <w:color w:val="000000"/>
                <w:sz w:val="20"/>
                <w:szCs w:val="20"/>
              </w:rPr>
            </w:pPr>
            <w:r w:rsidRPr="006221F3">
              <w:rPr>
                <w:color w:val="000000"/>
                <w:sz w:val="20"/>
                <w:szCs w:val="20"/>
              </w:rPr>
              <w:t xml:space="preserve">$        </w:t>
            </w:r>
            <w:r w:rsidR="006221F3" w:rsidRPr="006221F3">
              <w:rPr>
                <w:color w:val="000000"/>
                <w:sz w:val="20"/>
                <w:szCs w:val="20"/>
              </w:rPr>
              <w:t>40,607</w:t>
            </w:r>
            <w:r w:rsidRPr="006221F3">
              <w:rPr>
                <w:color w:val="000000"/>
                <w:sz w:val="20"/>
                <w:szCs w:val="20"/>
              </w:rPr>
              <w:t xml:space="preserve"> </w:t>
            </w:r>
          </w:p>
        </w:tc>
        <w:tc>
          <w:tcPr>
            <w:tcW w:w="798" w:type="pct"/>
            <w:tcBorders>
              <w:top w:val="nil"/>
              <w:left w:val="nil"/>
              <w:bottom w:val="nil"/>
              <w:right w:val="nil"/>
            </w:tcBorders>
            <w:shd w:val="clear" w:color="auto" w:fill="auto"/>
            <w:noWrap/>
            <w:vAlign w:val="bottom"/>
            <w:hideMark/>
          </w:tcPr>
          <w:p w14:paraId="5E7F0946" w14:textId="1A764F57" w:rsidR="00371BEA" w:rsidRPr="006221F3" w:rsidRDefault="00371BEA" w:rsidP="00BA2C24">
            <w:pPr>
              <w:jc w:val="right"/>
              <w:rPr>
                <w:color w:val="000000"/>
                <w:sz w:val="20"/>
                <w:szCs w:val="20"/>
              </w:rPr>
            </w:pPr>
            <w:r w:rsidRPr="006221F3">
              <w:rPr>
                <w:color w:val="000000"/>
                <w:sz w:val="20"/>
                <w:szCs w:val="20"/>
              </w:rPr>
              <w:t xml:space="preserve">$    </w:t>
            </w:r>
            <w:r w:rsidR="006221F3" w:rsidRPr="006221F3">
              <w:rPr>
                <w:color w:val="000000"/>
                <w:sz w:val="20"/>
                <w:szCs w:val="20"/>
              </w:rPr>
              <w:t>1,774,241</w:t>
            </w:r>
            <w:r w:rsidRPr="006221F3">
              <w:rPr>
                <w:color w:val="000000"/>
                <w:sz w:val="20"/>
                <w:szCs w:val="20"/>
              </w:rPr>
              <w:t xml:space="preserve"> </w:t>
            </w:r>
          </w:p>
        </w:tc>
      </w:tr>
      <w:tr w:rsidR="00371BEA" w:rsidRPr="006221F3" w14:paraId="6E57DC64" w14:textId="77777777" w:rsidTr="00BA2C24">
        <w:trPr>
          <w:trHeight w:val="264"/>
        </w:trPr>
        <w:tc>
          <w:tcPr>
            <w:tcW w:w="1806" w:type="pct"/>
            <w:tcBorders>
              <w:top w:val="nil"/>
              <w:left w:val="nil"/>
              <w:bottom w:val="single" w:sz="4" w:space="0" w:color="auto"/>
              <w:right w:val="nil"/>
            </w:tcBorders>
            <w:shd w:val="clear" w:color="auto" w:fill="auto"/>
            <w:vAlign w:val="center"/>
            <w:hideMark/>
          </w:tcPr>
          <w:p w14:paraId="209EBE09" w14:textId="77777777" w:rsidR="00371BEA" w:rsidRPr="006221F3" w:rsidRDefault="00371BEA" w:rsidP="00BA2C24">
            <w:pPr>
              <w:jc w:val="both"/>
              <w:rPr>
                <w:color w:val="000000"/>
                <w:sz w:val="20"/>
                <w:szCs w:val="20"/>
              </w:rPr>
            </w:pPr>
            <w:r w:rsidRPr="006221F3">
              <w:rPr>
                <w:color w:val="000000"/>
                <w:sz w:val="20"/>
                <w:szCs w:val="20"/>
              </w:rPr>
              <w:t>Mortgages</w:t>
            </w:r>
          </w:p>
        </w:tc>
        <w:tc>
          <w:tcPr>
            <w:tcW w:w="799" w:type="pct"/>
            <w:tcBorders>
              <w:top w:val="nil"/>
              <w:left w:val="nil"/>
              <w:bottom w:val="single" w:sz="4" w:space="0" w:color="auto"/>
              <w:right w:val="nil"/>
            </w:tcBorders>
            <w:shd w:val="clear" w:color="auto" w:fill="auto"/>
            <w:noWrap/>
            <w:vAlign w:val="bottom"/>
            <w:hideMark/>
          </w:tcPr>
          <w:p w14:paraId="04ED27CE" w14:textId="29629F32" w:rsidR="00371BEA" w:rsidRPr="006221F3" w:rsidRDefault="006221F3" w:rsidP="00BA2C24">
            <w:pPr>
              <w:jc w:val="right"/>
              <w:rPr>
                <w:color w:val="000000"/>
                <w:sz w:val="20"/>
                <w:szCs w:val="20"/>
              </w:rPr>
            </w:pPr>
            <w:r w:rsidRPr="006221F3">
              <w:rPr>
                <w:color w:val="000000"/>
                <w:sz w:val="20"/>
                <w:szCs w:val="20"/>
              </w:rPr>
              <w:t>4,858</w:t>
            </w:r>
            <w:r w:rsidR="00371BEA" w:rsidRPr="006221F3">
              <w:rPr>
                <w:color w:val="000000"/>
                <w:sz w:val="20"/>
                <w:szCs w:val="20"/>
              </w:rPr>
              <w:t xml:space="preserve"> </w:t>
            </w:r>
          </w:p>
        </w:tc>
        <w:tc>
          <w:tcPr>
            <w:tcW w:w="798" w:type="pct"/>
            <w:tcBorders>
              <w:top w:val="nil"/>
              <w:left w:val="nil"/>
              <w:bottom w:val="single" w:sz="4" w:space="0" w:color="auto"/>
              <w:right w:val="nil"/>
            </w:tcBorders>
            <w:shd w:val="clear" w:color="auto" w:fill="auto"/>
            <w:noWrap/>
            <w:vAlign w:val="bottom"/>
            <w:hideMark/>
          </w:tcPr>
          <w:p w14:paraId="191CB6B8" w14:textId="257397BE" w:rsidR="00371BEA" w:rsidRPr="006221F3" w:rsidRDefault="006221F3" w:rsidP="00BA2C24">
            <w:pPr>
              <w:jc w:val="right"/>
              <w:rPr>
                <w:color w:val="000000"/>
                <w:sz w:val="20"/>
                <w:szCs w:val="20"/>
              </w:rPr>
            </w:pPr>
            <w:r w:rsidRPr="006221F3">
              <w:rPr>
                <w:color w:val="000000"/>
                <w:sz w:val="20"/>
                <w:szCs w:val="20"/>
              </w:rPr>
              <w:t>141</w:t>
            </w:r>
            <w:r w:rsidR="00371BEA" w:rsidRPr="006221F3">
              <w:rPr>
                <w:color w:val="000000"/>
                <w:sz w:val="20"/>
                <w:szCs w:val="20"/>
              </w:rPr>
              <w:t xml:space="preserve"> </w:t>
            </w:r>
          </w:p>
        </w:tc>
        <w:tc>
          <w:tcPr>
            <w:tcW w:w="798" w:type="pct"/>
            <w:tcBorders>
              <w:top w:val="nil"/>
              <w:left w:val="nil"/>
              <w:bottom w:val="single" w:sz="4" w:space="0" w:color="auto"/>
              <w:right w:val="nil"/>
            </w:tcBorders>
            <w:shd w:val="clear" w:color="auto" w:fill="auto"/>
            <w:noWrap/>
            <w:vAlign w:val="bottom"/>
            <w:hideMark/>
          </w:tcPr>
          <w:p w14:paraId="7D9A831D" w14:textId="77777777" w:rsidR="00371BEA" w:rsidRPr="006221F3" w:rsidRDefault="00371BEA" w:rsidP="00BA2C24">
            <w:pPr>
              <w:jc w:val="right"/>
              <w:rPr>
                <w:color w:val="000000"/>
                <w:sz w:val="20"/>
                <w:szCs w:val="20"/>
              </w:rPr>
            </w:pPr>
            <w:r w:rsidRPr="006221F3">
              <w:rPr>
                <w:color w:val="000000"/>
                <w:sz w:val="20"/>
                <w:szCs w:val="20"/>
              </w:rPr>
              <w:t xml:space="preserve">- </w:t>
            </w:r>
          </w:p>
        </w:tc>
        <w:tc>
          <w:tcPr>
            <w:tcW w:w="798" w:type="pct"/>
            <w:tcBorders>
              <w:top w:val="nil"/>
              <w:left w:val="nil"/>
              <w:bottom w:val="single" w:sz="4" w:space="0" w:color="auto"/>
              <w:right w:val="nil"/>
            </w:tcBorders>
            <w:shd w:val="clear" w:color="auto" w:fill="auto"/>
            <w:noWrap/>
            <w:vAlign w:val="bottom"/>
            <w:hideMark/>
          </w:tcPr>
          <w:p w14:paraId="2BA4DA4F" w14:textId="3BAD61DA" w:rsidR="00371BEA" w:rsidRPr="006221F3" w:rsidRDefault="006221F3" w:rsidP="00BA2C24">
            <w:pPr>
              <w:jc w:val="right"/>
              <w:rPr>
                <w:color w:val="000000"/>
                <w:sz w:val="20"/>
                <w:szCs w:val="20"/>
              </w:rPr>
            </w:pPr>
            <w:r w:rsidRPr="006221F3">
              <w:rPr>
                <w:color w:val="000000"/>
                <w:sz w:val="20"/>
                <w:szCs w:val="20"/>
              </w:rPr>
              <w:t>4,999</w:t>
            </w:r>
            <w:r w:rsidR="00371BEA" w:rsidRPr="006221F3">
              <w:rPr>
                <w:color w:val="000000"/>
                <w:sz w:val="20"/>
                <w:szCs w:val="20"/>
              </w:rPr>
              <w:t xml:space="preserve"> </w:t>
            </w:r>
          </w:p>
        </w:tc>
      </w:tr>
      <w:tr w:rsidR="00371BEA" w:rsidRPr="006221F3" w14:paraId="1784BB0F" w14:textId="77777777" w:rsidTr="00BA2C24">
        <w:trPr>
          <w:trHeight w:val="264"/>
        </w:trPr>
        <w:tc>
          <w:tcPr>
            <w:tcW w:w="1806" w:type="pct"/>
            <w:tcBorders>
              <w:top w:val="nil"/>
              <w:left w:val="nil"/>
              <w:bottom w:val="nil"/>
              <w:right w:val="nil"/>
            </w:tcBorders>
            <w:shd w:val="clear" w:color="auto" w:fill="auto"/>
            <w:vAlign w:val="center"/>
            <w:hideMark/>
          </w:tcPr>
          <w:p w14:paraId="3BAEE469" w14:textId="77777777" w:rsidR="00371BEA" w:rsidRPr="006221F3" w:rsidRDefault="00371BEA" w:rsidP="00BA2C24">
            <w:pPr>
              <w:jc w:val="both"/>
              <w:rPr>
                <w:color w:val="000000"/>
                <w:sz w:val="20"/>
                <w:szCs w:val="20"/>
              </w:rPr>
            </w:pPr>
            <w:r w:rsidRPr="006221F3">
              <w:rPr>
                <w:color w:val="000000"/>
                <w:sz w:val="20"/>
                <w:szCs w:val="20"/>
              </w:rPr>
              <w:t>Total loans receivable</w:t>
            </w:r>
          </w:p>
        </w:tc>
        <w:tc>
          <w:tcPr>
            <w:tcW w:w="799" w:type="pct"/>
            <w:tcBorders>
              <w:top w:val="nil"/>
              <w:left w:val="nil"/>
              <w:bottom w:val="nil"/>
              <w:right w:val="nil"/>
            </w:tcBorders>
            <w:shd w:val="clear" w:color="auto" w:fill="auto"/>
            <w:noWrap/>
            <w:vAlign w:val="bottom"/>
            <w:hideMark/>
          </w:tcPr>
          <w:p w14:paraId="3F7D6231" w14:textId="2C3F9254" w:rsidR="00371BEA" w:rsidRPr="006221F3" w:rsidRDefault="00371BEA" w:rsidP="00BA2C24">
            <w:pPr>
              <w:jc w:val="right"/>
              <w:rPr>
                <w:color w:val="000000"/>
                <w:sz w:val="20"/>
                <w:szCs w:val="20"/>
              </w:rPr>
            </w:pPr>
            <w:r w:rsidRPr="006221F3">
              <w:rPr>
                <w:color w:val="000000"/>
                <w:sz w:val="20"/>
                <w:szCs w:val="20"/>
              </w:rPr>
              <w:t xml:space="preserve">$        </w:t>
            </w:r>
            <w:r w:rsidR="006221F3" w:rsidRPr="006221F3">
              <w:rPr>
                <w:color w:val="000000"/>
                <w:sz w:val="20"/>
                <w:szCs w:val="20"/>
              </w:rPr>
              <w:t>640,418</w:t>
            </w:r>
            <w:r w:rsidRPr="006221F3">
              <w:rPr>
                <w:color w:val="000000"/>
                <w:sz w:val="20"/>
                <w:szCs w:val="20"/>
              </w:rPr>
              <w:t xml:space="preserve"> </w:t>
            </w:r>
          </w:p>
        </w:tc>
        <w:tc>
          <w:tcPr>
            <w:tcW w:w="798" w:type="pct"/>
            <w:tcBorders>
              <w:top w:val="nil"/>
              <w:left w:val="nil"/>
              <w:bottom w:val="nil"/>
              <w:right w:val="nil"/>
            </w:tcBorders>
            <w:shd w:val="clear" w:color="auto" w:fill="auto"/>
            <w:noWrap/>
            <w:vAlign w:val="bottom"/>
            <w:hideMark/>
          </w:tcPr>
          <w:p w14:paraId="482CC7AB" w14:textId="356BBE74" w:rsidR="00371BEA" w:rsidRPr="006221F3" w:rsidRDefault="00371BEA" w:rsidP="00BA2C24">
            <w:pPr>
              <w:jc w:val="right"/>
              <w:rPr>
                <w:color w:val="000000"/>
                <w:sz w:val="20"/>
                <w:szCs w:val="20"/>
              </w:rPr>
            </w:pPr>
            <w:r w:rsidRPr="006221F3">
              <w:rPr>
                <w:color w:val="000000"/>
                <w:sz w:val="20"/>
                <w:szCs w:val="20"/>
              </w:rPr>
              <w:t>$    1,</w:t>
            </w:r>
            <w:r w:rsidR="006221F3" w:rsidRPr="006221F3">
              <w:rPr>
                <w:color w:val="000000"/>
                <w:sz w:val="20"/>
                <w:szCs w:val="20"/>
              </w:rPr>
              <w:t>098,215</w:t>
            </w:r>
            <w:r w:rsidRPr="006221F3">
              <w:rPr>
                <w:color w:val="000000"/>
                <w:sz w:val="20"/>
                <w:szCs w:val="20"/>
              </w:rPr>
              <w:t xml:space="preserve"> </w:t>
            </w:r>
          </w:p>
        </w:tc>
        <w:tc>
          <w:tcPr>
            <w:tcW w:w="798" w:type="pct"/>
            <w:tcBorders>
              <w:top w:val="nil"/>
              <w:left w:val="nil"/>
              <w:bottom w:val="nil"/>
              <w:right w:val="nil"/>
            </w:tcBorders>
            <w:shd w:val="clear" w:color="auto" w:fill="auto"/>
            <w:noWrap/>
            <w:vAlign w:val="bottom"/>
            <w:hideMark/>
          </w:tcPr>
          <w:p w14:paraId="78F4CB1A" w14:textId="51B4AAE6" w:rsidR="00371BEA" w:rsidRPr="006221F3" w:rsidRDefault="00371BEA" w:rsidP="00BA2C24">
            <w:pPr>
              <w:jc w:val="right"/>
              <w:rPr>
                <w:color w:val="000000"/>
                <w:sz w:val="20"/>
                <w:szCs w:val="20"/>
              </w:rPr>
            </w:pPr>
            <w:r w:rsidRPr="006221F3">
              <w:rPr>
                <w:color w:val="000000"/>
                <w:sz w:val="20"/>
                <w:szCs w:val="20"/>
              </w:rPr>
              <w:t xml:space="preserve">$        </w:t>
            </w:r>
            <w:r w:rsidR="006221F3" w:rsidRPr="006221F3">
              <w:rPr>
                <w:color w:val="000000"/>
                <w:sz w:val="20"/>
                <w:szCs w:val="20"/>
              </w:rPr>
              <w:t>40,607</w:t>
            </w:r>
            <w:r w:rsidRPr="006221F3">
              <w:rPr>
                <w:color w:val="000000"/>
                <w:sz w:val="20"/>
                <w:szCs w:val="20"/>
              </w:rPr>
              <w:t xml:space="preserve"> </w:t>
            </w:r>
          </w:p>
        </w:tc>
        <w:tc>
          <w:tcPr>
            <w:tcW w:w="798" w:type="pct"/>
            <w:tcBorders>
              <w:top w:val="nil"/>
              <w:left w:val="nil"/>
              <w:bottom w:val="nil"/>
              <w:right w:val="nil"/>
            </w:tcBorders>
            <w:shd w:val="clear" w:color="auto" w:fill="auto"/>
            <w:noWrap/>
            <w:vAlign w:val="bottom"/>
            <w:hideMark/>
          </w:tcPr>
          <w:p w14:paraId="6220986F" w14:textId="3D5A7981" w:rsidR="00371BEA" w:rsidRPr="006221F3" w:rsidRDefault="006221F3" w:rsidP="00BA2C24">
            <w:pPr>
              <w:jc w:val="right"/>
              <w:rPr>
                <w:color w:val="000000"/>
                <w:sz w:val="20"/>
                <w:szCs w:val="20"/>
              </w:rPr>
            </w:pPr>
            <w:r w:rsidRPr="006221F3">
              <w:rPr>
                <w:color w:val="000000"/>
                <w:sz w:val="20"/>
                <w:szCs w:val="20"/>
              </w:rPr>
              <w:t>1,779,240</w:t>
            </w:r>
            <w:r w:rsidR="00371BEA" w:rsidRPr="006221F3">
              <w:rPr>
                <w:color w:val="000000"/>
                <w:sz w:val="20"/>
                <w:szCs w:val="20"/>
              </w:rPr>
              <w:t xml:space="preserve"> </w:t>
            </w:r>
          </w:p>
        </w:tc>
      </w:tr>
      <w:tr w:rsidR="00371BEA" w:rsidRPr="006221F3" w14:paraId="1771CE8F" w14:textId="77777777" w:rsidTr="00BA2C24">
        <w:trPr>
          <w:trHeight w:val="276"/>
        </w:trPr>
        <w:tc>
          <w:tcPr>
            <w:tcW w:w="1806" w:type="pct"/>
            <w:tcBorders>
              <w:top w:val="nil"/>
              <w:left w:val="nil"/>
              <w:bottom w:val="nil"/>
              <w:right w:val="nil"/>
            </w:tcBorders>
            <w:shd w:val="clear" w:color="auto" w:fill="auto"/>
            <w:vAlign w:val="center"/>
            <w:hideMark/>
          </w:tcPr>
          <w:p w14:paraId="5A08F508" w14:textId="77777777" w:rsidR="00371BEA" w:rsidRPr="006221F3" w:rsidRDefault="00371BEA" w:rsidP="00BA2C24">
            <w:pPr>
              <w:jc w:val="both"/>
              <w:rPr>
                <w:color w:val="000000"/>
                <w:sz w:val="20"/>
                <w:szCs w:val="20"/>
              </w:rPr>
            </w:pPr>
            <w:r w:rsidRPr="006221F3">
              <w:rPr>
                <w:color w:val="000000"/>
                <w:sz w:val="20"/>
                <w:szCs w:val="20"/>
              </w:rPr>
              <w:t>Less: allowance for credit losses</w:t>
            </w:r>
          </w:p>
        </w:tc>
        <w:tc>
          <w:tcPr>
            <w:tcW w:w="799" w:type="pct"/>
            <w:tcBorders>
              <w:top w:val="nil"/>
              <w:left w:val="nil"/>
              <w:bottom w:val="nil"/>
              <w:right w:val="nil"/>
            </w:tcBorders>
            <w:shd w:val="clear" w:color="auto" w:fill="auto"/>
            <w:vAlign w:val="center"/>
            <w:hideMark/>
          </w:tcPr>
          <w:p w14:paraId="24AD11CB" w14:textId="77777777" w:rsidR="00371BEA" w:rsidRPr="006221F3" w:rsidRDefault="00371BEA" w:rsidP="00BA2C24">
            <w:pPr>
              <w:jc w:val="both"/>
              <w:rPr>
                <w:color w:val="000000"/>
                <w:sz w:val="20"/>
                <w:szCs w:val="20"/>
              </w:rPr>
            </w:pPr>
          </w:p>
        </w:tc>
        <w:tc>
          <w:tcPr>
            <w:tcW w:w="798" w:type="pct"/>
            <w:tcBorders>
              <w:top w:val="nil"/>
              <w:left w:val="nil"/>
              <w:bottom w:val="nil"/>
              <w:right w:val="nil"/>
            </w:tcBorders>
            <w:shd w:val="clear" w:color="auto" w:fill="auto"/>
            <w:vAlign w:val="center"/>
            <w:hideMark/>
          </w:tcPr>
          <w:p w14:paraId="1E906314" w14:textId="77777777" w:rsidR="00371BEA" w:rsidRPr="006221F3" w:rsidRDefault="00371BEA" w:rsidP="00BA2C24">
            <w:pPr>
              <w:jc w:val="both"/>
              <w:rPr>
                <w:sz w:val="20"/>
                <w:szCs w:val="20"/>
              </w:rPr>
            </w:pPr>
          </w:p>
        </w:tc>
        <w:tc>
          <w:tcPr>
            <w:tcW w:w="798" w:type="pct"/>
            <w:tcBorders>
              <w:top w:val="nil"/>
              <w:left w:val="nil"/>
              <w:bottom w:val="nil"/>
              <w:right w:val="nil"/>
            </w:tcBorders>
            <w:shd w:val="clear" w:color="auto" w:fill="auto"/>
            <w:vAlign w:val="center"/>
            <w:hideMark/>
          </w:tcPr>
          <w:p w14:paraId="2435B0F0" w14:textId="77777777" w:rsidR="00371BEA" w:rsidRPr="006221F3" w:rsidRDefault="00371BEA" w:rsidP="00BA2C24">
            <w:pPr>
              <w:jc w:val="both"/>
              <w:rPr>
                <w:sz w:val="20"/>
                <w:szCs w:val="20"/>
              </w:rPr>
            </w:pPr>
          </w:p>
        </w:tc>
        <w:tc>
          <w:tcPr>
            <w:tcW w:w="798" w:type="pct"/>
            <w:tcBorders>
              <w:top w:val="nil"/>
              <w:left w:val="nil"/>
              <w:bottom w:val="single" w:sz="4" w:space="0" w:color="auto"/>
              <w:right w:val="nil"/>
            </w:tcBorders>
            <w:shd w:val="clear" w:color="auto" w:fill="auto"/>
            <w:noWrap/>
            <w:vAlign w:val="bottom"/>
            <w:hideMark/>
          </w:tcPr>
          <w:p w14:paraId="3AD1A348" w14:textId="51D8706F" w:rsidR="00371BEA" w:rsidRPr="006221F3" w:rsidRDefault="00371BEA" w:rsidP="00BA2C24">
            <w:pPr>
              <w:jc w:val="right"/>
              <w:rPr>
                <w:color w:val="000000"/>
                <w:sz w:val="20"/>
                <w:szCs w:val="20"/>
              </w:rPr>
            </w:pPr>
            <w:r w:rsidRPr="006221F3">
              <w:rPr>
                <w:color w:val="000000"/>
                <w:sz w:val="20"/>
                <w:szCs w:val="20"/>
              </w:rPr>
              <w:t>(</w:t>
            </w:r>
            <w:r w:rsidR="006221F3" w:rsidRPr="006221F3">
              <w:rPr>
                <w:color w:val="000000"/>
                <w:sz w:val="20"/>
                <w:szCs w:val="20"/>
              </w:rPr>
              <w:t>99,252</w:t>
            </w:r>
            <w:r w:rsidRPr="006221F3">
              <w:rPr>
                <w:color w:val="000000"/>
                <w:sz w:val="20"/>
                <w:szCs w:val="20"/>
              </w:rPr>
              <w:t>)</w:t>
            </w:r>
          </w:p>
        </w:tc>
      </w:tr>
      <w:tr w:rsidR="00371BEA" w:rsidRPr="0007463E" w14:paraId="22E70183" w14:textId="77777777" w:rsidTr="00BA2C24">
        <w:trPr>
          <w:trHeight w:val="276"/>
        </w:trPr>
        <w:tc>
          <w:tcPr>
            <w:tcW w:w="1806" w:type="pct"/>
            <w:tcBorders>
              <w:top w:val="single" w:sz="8" w:space="0" w:color="auto"/>
              <w:left w:val="nil"/>
              <w:bottom w:val="double" w:sz="6" w:space="0" w:color="auto"/>
              <w:right w:val="nil"/>
            </w:tcBorders>
            <w:shd w:val="clear" w:color="auto" w:fill="auto"/>
            <w:vAlign w:val="center"/>
            <w:hideMark/>
          </w:tcPr>
          <w:p w14:paraId="040E0FC8" w14:textId="77777777" w:rsidR="00371BEA" w:rsidRPr="006221F3" w:rsidRDefault="00371BEA" w:rsidP="00BA2C24">
            <w:pPr>
              <w:jc w:val="both"/>
              <w:rPr>
                <w:color w:val="000000"/>
                <w:sz w:val="20"/>
                <w:szCs w:val="20"/>
              </w:rPr>
            </w:pPr>
            <w:r w:rsidRPr="006221F3">
              <w:rPr>
                <w:color w:val="000000"/>
                <w:sz w:val="20"/>
                <w:szCs w:val="20"/>
              </w:rPr>
              <w:t>Loans and Interest receivable, net</w:t>
            </w:r>
          </w:p>
        </w:tc>
        <w:tc>
          <w:tcPr>
            <w:tcW w:w="799" w:type="pct"/>
            <w:tcBorders>
              <w:top w:val="single" w:sz="8" w:space="0" w:color="auto"/>
              <w:left w:val="nil"/>
              <w:bottom w:val="double" w:sz="6" w:space="0" w:color="auto"/>
              <w:right w:val="nil"/>
            </w:tcBorders>
            <w:shd w:val="clear" w:color="auto" w:fill="auto"/>
            <w:vAlign w:val="center"/>
            <w:hideMark/>
          </w:tcPr>
          <w:p w14:paraId="2A80183D" w14:textId="77777777" w:rsidR="00371BEA" w:rsidRPr="006221F3" w:rsidRDefault="00371BEA" w:rsidP="00BA2C24">
            <w:pPr>
              <w:jc w:val="both"/>
              <w:rPr>
                <w:color w:val="000000"/>
                <w:sz w:val="20"/>
                <w:szCs w:val="20"/>
              </w:rPr>
            </w:pPr>
            <w:r w:rsidRPr="006221F3">
              <w:rPr>
                <w:color w:val="000000"/>
                <w:sz w:val="20"/>
                <w:szCs w:val="20"/>
              </w:rPr>
              <w:t> </w:t>
            </w:r>
          </w:p>
        </w:tc>
        <w:tc>
          <w:tcPr>
            <w:tcW w:w="798" w:type="pct"/>
            <w:tcBorders>
              <w:top w:val="single" w:sz="8" w:space="0" w:color="auto"/>
              <w:left w:val="nil"/>
              <w:bottom w:val="double" w:sz="6" w:space="0" w:color="auto"/>
              <w:right w:val="nil"/>
            </w:tcBorders>
            <w:shd w:val="clear" w:color="auto" w:fill="auto"/>
            <w:vAlign w:val="center"/>
            <w:hideMark/>
          </w:tcPr>
          <w:p w14:paraId="0F2EB8ED" w14:textId="77777777" w:rsidR="00371BEA" w:rsidRPr="006221F3" w:rsidRDefault="00371BEA" w:rsidP="00BA2C24">
            <w:pPr>
              <w:jc w:val="both"/>
              <w:rPr>
                <w:color w:val="000000"/>
                <w:sz w:val="20"/>
                <w:szCs w:val="20"/>
              </w:rPr>
            </w:pPr>
            <w:r w:rsidRPr="006221F3">
              <w:rPr>
                <w:color w:val="000000"/>
                <w:sz w:val="20"/>
                <w:szCs w:val="20"/>
              </w:rPr>
              <w:t> </w:t>
            </w:r>
          </w:p>
        </w:tc>
        <w:tc>
          <w:tcPr>
            <w:tcW w:w="798" w:type="pct"/>
            <w:tcBorders>
              <w:top w:val="single" w:sz="8" w:space="0" w:color="auto"/>
              <w:left w:val="nil"/>
              <w:bottom w:val="double" w:sz="6" w:space="0" w:color="auto"/>
              <w:right w:val="nil"/>
            </w:tcBorders>
            <w:shd w:val="clear" w:color="auto" w:fill="auto"/>
            <w:vAlign w:val="center"/>
            <w:hideMark/>
          </w:tcPr>
          <w:p w14:paraId="0E790AA2" w14:textId="77777777" w:rsidR="00371BEA" w:rsidRPr="006221F3" w:rsidRDefault="00371BEA" w:rsidP="00BA2C24">
            <w:pPr>
              <w:jc w:val="both"/>
              <w:rPr>
                <w:color w:val="000000"/>
                <w:sz w:val="20"/>
                <w:szCs w:val="20"/>
              </w:rPr>
            </w:pPr>
            <w:r w:rsidRPr="006221F3">
              <w:rPr>
                <w:color w:val="000000"/>
                <w:sz w:val="20"/>
                <w:szCs w:val="20"/>
              </w:rPr>
              <w:t> </w:t>
            </w:r>
          </w:p>
        </w:tc>
        <w:tc>
          <w:tcPr>
            <w:tcW w:w="798" w:type="pct"/>
            <w:tcBorders>
              <w:top w:val="single" w:sz="8" w:space="0" w:color="auto"/>
              <w:left w:val="nil"/>
              <w:bottom w:val="double" w:sz="6" w:space="0" w:color="auto"/>
              <w:right w:val="nil"/>
            </w:tcBorders>
            <w:shd w:val="clear" w:color="auto" w:fill="auto"/>
            <w:vAlign w:val="center"/>
            <w:hideMark/>
          </w:tcPr>
          <w:p w14:paraId="5499949C" w14:textId="79C105AB" w:rsidR="00371BEA" w:rsidRPr="006221F3" w:rsidRDefault="00371BEA" w:rsidP="00BA2C24">
            <w:pPr>
              <w:jc w:val="right"/>
              <w:rPr>
                <w:color w:val="000000"/>
                <w:sz w:val="20"/>
                <w:szCs w:val="20"/>
              </w:rPr>
            </w:pPr>
            <w:r w:rsidRPr="006221F3">
              <w:rPr>
                <w:color w:val="000000"/>
                <w:sz w:val="20"/>
                <w:szCs w:val="20"/>
              </w:rPr>
              <w:t>$    1,</w:t>
            </w:r>
            <w:r w:rsidR="006221F3" w:rsidRPr="006221F3">
              <w:rPr>
                <w:color w:val="000000"/>
                <w:sz w:val="20"/>
                <w:szCs w:val="20"/>
              </w:rPr>
              <w:t>679,988</w:t>
            </w:r>
            <w:r w:rsidRPr="006221F3">
              <w:rPr>
                <w:color w:val="000000"/>
                <w:sz w:val="20"/>
                <w:szCs w:val="20"/>
              </w:rPr>
              <w:t xml:space="preserve"> </w:t>
            </w:r>
          </w:p>
        </w:tc>
      </w:tr>
    </w:tbl>
    <w:p w14:paraId="75AD63EB" w14:textId="77777777" w:rsidR="001449B7" w:rsidRPr="0007463E" w:rsidRDefault="001449B7">
      <w:pPr>
        <w:rPr>
          <w:b/>
          <w:bCs/>
          <w:sz w:val="20"/>
          <w:szCs w:val="20"/>
          <w:highlight w:val="yellow"/>
        </w:rPr>
      </w:pPr>
      <w:r w:rsidRPr="0007463E">
        <w:rPr>
          <w:b/>
          <w:bCs/>
          <w:sz w:val="20"/>
          <w:szCs w:val="20"/>
          <w:highlight w:val="yellow"/>
        </w:rPr>
        <w:br w:type="page"/>
      </w:r>
    </w:p>
    <w:p w14:paraId="65B4AA0C" w14:textId="77777777" w:rsidR="001449B7" w:rsidRPr="0007463E" w:rsidRDefault="001449B7" w:rsidP="00B545BF">
      <w:pPr>
        <w:ind w:left="284"/>
        <w:jc w:val="both"/>
        <w:rPr>
          <w:b/>
          <w:bCs/>
          <w:sz w:val="20"/>
          <w:szCs w:val="20"/>
          <w:highlight w:val="yellow"/>
        </w:rPr>
      </w:pPr>
    </w:p>
    <w:p w14:paraId="67C84237" w14:textId="24305246" w:rsidR="00FC6ABC" w:rsidRPr="00441EAC" w:rsidRDefault="00FC6ABC" w:rsidP="00371BEA">
      <w:pPr>
        <w:pStyle w:val="ListParagraph"/>
        <w:numPr>
          <w:ilvl w:val="0"/>
          <w:numId w:val="28"/>
        </w:numPr>
        <w:ind w:left="284"/>
        <w:jc w:val="both"/>
        <w:rPr>
          <w:b/>
          <w:bCs/>
          <w:sz w:val="20"/>
          <w:szCs w:val="20"/>
        </w:rPr>
      </w:pPr>
      <w:r w:rsidRPr="00441EAC">
        <w:rPr>
          <w:b/>
          <w:bCs/>
          <w:sz w:val="20"/>
          <w:szCs w:val="20"/>
        </w:rPr>
        <w:t>FURNITURE</w:t>
      </w:r>
      <w:r w:rsidR="00C5499E" w:rsidRPr="00441EAC">
        <w:rPr>
          <w:b/>
          <w:bCs/>
          <w:sz w:val="20"/>
          <w:szCs w:val="20"/>
        </w:rPr>
        <w:t>,</w:t>
      </w:r>
      <w:r w:rsidRPr="00441EAC">
        <w:rPr>
          <w:b/>
          <w:bCs/>
          <w:sz w:val="20"/>
          <w:szCs w:val="20"/>
        </w:rPr>
        <w:t xml:space="preserve"> EQUIPMENT</w:t>
      </w:r>
      <w:r w:rsidR="00C5499E" w:rsidRPr="00441EAC">
        <w:rPr>
          <w:b/>
          <w:bCs/>
          <w:sz w:val="20"/>
          <w:szCs w:val="20"/>
        </w:rPr>
        <w:t>, AND RIGHT-OF-USE ASSETS</w:t>
      </w:r>
    </w:p>
    <w:p w14:paraId="26AD3A28" w14:textId="79EA3CE5" w:rsidR="0037068E" w:rsidRPr="00441EAC" w:rsidRDefault="0037068E" w:rsidP="0037068E">
      <w:pPr>
        <w:pStyle w:val="ListParagraph"/>
        <w:ind w:left="284"/>
        <w:jc w:val="both"/>
        <w:rPr>
          <w:b/>
          <w:bCs/>
          <w:sz w:val="20"/>
          <w:szCs w:val="20"/>
        </w:rPr>
      </w:pPr>
    </w:p>
    <w:tbl>
      <w:tblPr>
        <w:tblW w:w="8900" w:type="dxa"/>
        <w:tblInd w:w="284" w:type="dxa"/>
        <w:tblLook w:val="04A0" w:firstRow="1" w:lastRow="0" w:firstColumn="1" w:lastColumn="0" w:noHBand="0" w:noVBand="1"/>
      </w:tblPr>
      <w:tblGrid>
        <w:gridCol w:w="3033"/>
        <w:gridCol w:w="1294"/>
        <w:gridCol w:w="1095"/>
        <w:gridCol w:w="1104"/>
        <w:gridCol w:w="1094"/>
        <w:gridCol w:w="1280"/>
      </w:tblGrid>
      <w:tr w:rsidR="00783731" w:rsidRPr="0007463E" w14:paraId="7718C280" w14:textId="77777777" w:rsidTr="00866470">
        <w:trPr>
          <w:trHeight w:val="540"/>
        </w:trPr>
        <w:tc>
          <w:tcPr>
            <w:tcW w:w="3033" w:type="dxa"/>
            <w:tcBorders>
              <w:top w:val="double" w:sz="6" w:space="0" w:color="auto"/>
              <w:left w:val="nil"/>
              <w:bottom w:val="single" w:sz="4" w:space="0" w:color="auto"/>
              <w:right w:val="nil"/>
            </w:tcBorders>
            <w:shd w:val="clear" w:color="auto" w:fill="auto"/>
            <w:vAlign w:val="center"/>
            <w:hideMark/>
          </w:tcPr>
          <w:p w14:paraId="5A9C4886" w14:textId="77777777" w:rsidR="00783731" w:rsidRPr="00441EAC" w:rsidRDefault="00783731">
            <w:pPr>
              <w:rPr>
                <w:color w:val="000000"/>
                <w:sz w:val="20"/>
                <w:szCs w:val="20"/>
              </w:rPr>
            </w:pPr>
            <w:r w:rsidRPr="00441EAC">
              <w:rPr>
                <w:color w:val="000000"/>
                <w:sz w:val="20"/>
                <w:szCs w:val="20"/>
              </w:rPr>
              <w:t> </w:t>
            </w:r>
          </w:p>
        </w:tc>
        <w:tc>
          <w:tcPr>
            <w:tcW w:w="1294" w:type="dxa"/>
            <w:tcBorders>
              <w:top w:val="double" w:sz="6" w:space="0" w:color="auto"/>
              <w:left w:val="nil"/>
              <w:bottom w:val="single" w:sz="4" w:space="0" w:color="auto"/>
              <w:right w:val="nil"/>
            </w:tcBorders>
            <w:shd w:val="clear" w:color="auto" w:fill="auto"/>
            <w:vAlign w:val="bottom"/>
            <w:hideMark/>
          </w:tcPr>
          <w:p w14:paraId="389720A3" w14:textId="77777777" w:rsidR="00783731" w:rsidRPr="00441EAC" w:rsidRDefault="00783731">
            <w:pPr>
              <w:jc w:val="right"/>
              <w:rPr>
                <w:color w:val="000000"/>
                <w:sz w:val="20"/>
                <w:szCs w:val="20"/>
              </w:rPr>
            </w:pPr>
            <w:r w:rsidRPr="00441EAC">
              <w:rPr>
                <w:color w:val="000000"/>
                <w:sz w:val="20"/>
                <w:szCs w:val="20"/>
              </w:rPr>
              <w:t>Leasehold Improvement</w:t>
            </w:r>
          </w:p>
        </w:tc>
        <w:tc>
          <w:tcPr>
            <w:tcW w:w="1095" w:type="dxa"/>
            <w:tcBorders>
              <w:top w:val="double" w:sz="6" w:space="0" w:color="auto"/>
              <w:left w:val="nil"/>
              <w:bottom w:val="single" w:sz="4" w:space="0" w:color="auto"/>
              <w:right w:val="nil"/>
            </w:tcBorders>
            <w:shd w:val="clear" w:color="auto" w:fill="auto"/>
            <w:vAlign w:val="bottom"/>
            <w:hideMark/>
          </w:tcPr>
          <w:p w14:paraId="18CBCC88" w14:textId="77777777" w:rsidR="00783731" w:rsidRPr="00441EAC" w:rsidRDefault="00783731">
            <w:pPr>
              <w:jc w:val="right"/>
              <w:rPr>
                <w:color w:val="000000"/>
                <w:sz w:val="20"/>
                <w:szCs w:val="20"/>
              </w:rPr>
            </w:pPr>
            <w:r w:rsidRPr="00441EAC">
              <w:rPr>
                <w:color w:val="000000"/>
                <w:sz w:val="20"/>
                <w:szCs w:val="20"/>
              </w:rPr>
              <w:t>Right-of-use assets</w:t>
            </w:r>
          </w:p>
        </w:tc>
        <w:tc>
          <w:tcPr>
            <w:tcW w:w="1104" w:type="dxa"/>
            <w:tcBorders>
              <w:top w:val="double" w:sz="6" w:space="0" w:color="auto"/>
              <w:left w:val="nil"/>
              <w:bottom w:val="single" w:sz="4" w:space="0" w:color="auto"/>
              <w:right w:val="nil"/>
            </w:tcBorders>
            <w:shd w:val="clear" w:color="auto" w:fill="auto"/>
            <w:vAlign w:val="bottom"/>
            <w:hideMark/>
          </w:tcPr>
          <w:p w14:paraId="5D72438A" w14:textId="77777777" w:rsidR="00783731" w:rsidRPr="00441EAC" w:rsidRDefault="00783731">
            <w:pPr>
              <w:jc w:val="right"/>
              <w:rPr>
                <w:color w:val="000000"/>
                <w:sz w:val="20"/>
                <w:szCs w:val="20"/>
              </w:rPr>
            </w:pPr>
            <w:r w:rsidRPr="00441EAC">
              <w:rPr>
                <w:color w:val="000000"/>
                <w:sz w:val="20"/>
                <w:szCs w:val="20"/>
              </w:rPr>
              <w:t>Furniture</w:t>
            </w:r>
          </w:p>
        </w:tc>
        <w:tc>
          <w:tcPr>
            <w:tcW w:w="1094" w:type="dxa"/>
            <w:tcBorders>
              <w:top w:val="double" w:sz="6" w:space="0" w:color="auto"/>
              <w:left w:val="nil"/>
              <w:bottom w:val="single" w:sz="4" w:space="0" w:color="auto"/>
              <w:right w:val="nil"/>
            </w:tcBorders>
            <w:shd w:val="clear" w:color="auto" w:fill="auto"/>
            <w:vAlign w:val="bottom"/>
            <w:hideMark/>
          </w:tcPr>
          <w:p w14:paraId="0395DF93" w14:textId="77777777" w:rsidR="00783731" w:rsidRPr="00441EAC" w:rsidRDefault="00783731">
            <w:pPr>
              <w:jc w:val="right"/>
              <w:rPr>
                <w:color w:val="000000"/>
                <w:sz w:val="20"/>
                <w:szCs w:val="20"/>
              </w:rPr>
            </w:pPr>
            <w:r w:rsidRPr="00441EAC">
              <w:rPr>
                <w:color w:val="000000"/>
                <w:sz w:val="20"/>
                <w:szCs w:val="20"/>
              </w:rPr>
              <w:t>Computers</w:t>
            </w:r>
          </w:p>
        </w:tc>
        <w:tc>
          <w:tcPr>
            <w:tcW w:w="1280" w:type="dxa"/>
            <w:tcBorders>
              <w:top w:val="double" w:sz="6" w:space="0" w:color="auto"/>
              <w:left w:val="nil"/>
              <w:bottom w:val="single" w:sz="4" w:space="0" w:color="auto"/>
              <w:right w:val="nil"/>
            </w:tcBorders>
            <w:shd w:val="clear" w:color="auto" w:fill="auto"/>
            <w:vAlign w:val="bottom"/>
            <w:hideMark/>
          </w:tcPr>
          <w:p w14:paraId="27AEC719" w14:textId="77777777" w:rsidR="00783731" w:rsidRPr="00441EAC" w:rsidRDefault="00783731">
            <w:pPr>
              <w:jc w:val="right"/>
              <w:rPr>
                <w:color w:val="000000"/>
                <w:sz w:val="20"/>
                <w:szCs w:val="20"/>
              </w:rPr>
            </w:pPr>
            <w:r w:rsidRPr="00441EAC">
              <w:rPr>
                <w:color w:val="000000"/>
                <w:sz w:val="20"/>
                <w:szCs w:val="20"/>
              </w:rPr>
              <w:t>Total</w:t>
            </w:r>
          </w:p>
        </w:tc>
      </w:tr>
      <w:tr w:rsidR="00783731" w:rsidRPr="0007463E" w14:paraId="4A017010" w14:textId="77777777" w:rsidTr="00866470">
        <w:trPr>
          <w:trHeight w:val="264"/>
        </w:trPr>
        <w:tc>
          <w:tcPr>
            <w:tcW w:w="3033" w:type="dxa"/>
            <w:tcBorders>
              <w:top w:val="nil"/>
              <w:left w:val="nil"/>
              <w:bottom w:val="nil"/>
              <w:right w:val="nil"/>
            </w:tcBorders>
            <w:shd w:val="clear" w:color="auto" w:fill="auto"/>
            <w:vAlign w:val="center"/>
            <w:hideMark/>
          </w:tcPr>
          <w:p w14:paraId="0BEAA017" w14:textId="77777777" w:rsidR="00783731" w:rsidRPr="0007463E" w:rsidRDefault="00783731">
            <w:pPr>
              <w:jc w:val="right"/>
              <w:rPr>
                <w:color w:val="000000"/>
                <w:sz w:val="20"/>
                <w:szCs w:val="20"/>
                <w:highlight w:val="yellow"/>
              </w:rPr>
            </w:pPr>
          </w:p>
        </w:tc>
        <w:tc>
          <w:tcPr>
            <w:tcW w:w="1294" w:type="dxa"/>
            <w:tcBorders>
              <w:top w:val="nil"/>
              <w:left w:val="nil"/>
              <w:bottom w:val="nil"/>
              <w:right w:val="nil"/>
            </w:tcBorders>
            <w:shd w:val="clear" w:color="auto" w:fill="auto"/>
            <w:vAlign w:val="center"/>
            <w:hideMark/>
          </w:tcPr>
          <w:p w14:paraId="430C41EF" w14:textId="77777777" w:rsidR="00783731" w:rsidRPr="0007463E" w:rsidRDefault="00783731">
            <w:pPr>
              <w:rPr>
                <w:sz w:val="20"/>
                <w:szCs w:val="20"/>
                <w:highlight w:val="yellow"/>
              </w:rPr>
            </w:pPr>
          </w:p>
        </w:tc>
        <w:tc>
          <w:tcPr>
            <w:tcW w:w="1095" w:type="dxa"/>
            <w:tcBorders>
              <w:top w:val="nil"/>
              <w:left w:val="nil"/>
              <w:bottom w:val="nil"/>
              <w:right w:val="nil"/>
            </w:tcBorders>
            <w:shd w:val="clear" w:color="auto" w:fill="auto"/>
            <w:vAlign w:val="center"/>
            <w:hideMark/>
          </w:tcPr>
          <w:p w14:paraId="484A54C7" w14:textId="77777777" w:rsidR="00783731" w:rsidRPr="0007463E" w:rsidRDefault="00783731">
            <w:pPr>
              <w:rPr>
                <w:sz w:val="20"/>
                <w:szCs w:val="20"/>
                <w:highlight w:val="yellow"/>
              </w:rPr>
            </w:pPr>
          </w:p>
        </w:tc>
        <w:tc>
          <w:tcPr>
            <w:tcW w:w="1104" w:type="dxa"/>
            <w:tcBorders>
              <w:top w:val="nil"/>
              <w:left w:val="nil"/>
              <w:bottom w:val="nil"/>
              <w:right w:val="nil"/>
            </w:tcBorders>
            <w:shd w:val="clear" w:color="auto" w:fill="auto"/>
            <w:vAlign w:val="center"/>
            <w:hideMark/>
          </w:tcPr>
          <w:p w14:paraId="66A31FCC" w14:textId="77777777" w:rsidR="00783731" w:rsidRPr="0007463E" w:rsidRDefault="00783731">
            <w:pPr>
              <w:rPr>
                <w:sz w:val="20"/>
                <w:szCs w:val="20"/>
                <w:highlight w:val="yellow"/>
              </w:rPr>
            </w:pPr>
          </w:p>
        </w:tc>
        <w:tc>
          <w:tcPr>
            <w:tcW w:w="1094" w:type="dxa"/>
            <w:tcBorders>
              <w:top w:val="nil"/>
              <w:left w:val="nil"/>
              <w:bottom w:val="nil"/>
              <w:right w:val="nil"/>
            </w:tcBorders>
            <w:shd w:val="clear" w:color="auto" w:fill="auto"/>
            <w:vAlign w:val="center"/>
            <w:hideMark/>
          </w:tcPr>
          <w:p w14:paraId="1B07B638" w14:textId="77777777" w:rsidR="00783731" w:rsidRPr="0007463E" w:rsidRDefault="00783731">
            <w:pPr>
              <w:rPr>
                <w:sz w:val="20"/>
                <w:szCs w:val="20"/>
                <w:highlight w:val="yellow"/>
              </w:rPr>
            </w:pPr>
          </w:p>
        </w:tc>
        <w:tc>
          <w:tcPr>
            <w:tcW w:w="1280" w:type="dxa"/>
            <w:tcBorders>
              <w:top w:val="nil"/>
              <w:left w:val="nil"/>
              <w:bottom w:val="nil"/>
              <w:right w:val="nil"/>
            </w:tcBorders>
            <w:shd w:val="clear" w:color="auto" w:fill="auto"/>
            <w:vAlign w:val="bottom"/>
            <w:hideMark/>
          </w:tcPr>
          <w:p w14:paraId="11E64568" w14:textId="77777777" w:rsidR="00783731" w:rsidRPr="0007463E" w:rsidRDefault="00783731">
            <w:pPr>
              <w:rPr>
                <w:sz w:val="20"/>
                <w:szCs w:val="20"/>
                <w:highlight w:val="yellow"/>
              </w:rPr>
            </w:pPr>
          </w:p>
        </w:tc>
      </w:tr>
      <w:tr w:rsidR="00783731" w:rsidRPr="00441EAC" w14:paraId="6004D3A5" w14:textId="77777777" w:rsidTr="00866470">
        <w:trPr>
          <w:trHeight w:val="330"/>
        </w:trPr>
        <w:tc>
          <w:tcPr>
            <w:tcW w:w="3033" w:type="dxa"/>
            <w:tcBorders>
              <w:top w:val="nil"/>
              <w:left w:val="nil"/>
              <w:bottom w:val="nil"/>
              <w:right w:val="nil"/>
            </w:tcBorders>
            <w:shd w:val="clear" w:color="auto" w:fill="auto"/>
            <w:vAlign w:val="center"/>
            <w:hideMark/>
          </w:tcPr>
          <w:p w14:paraId="3434E204" w14:textId="77777777" w:rsidR="00783731" w:rsidRPr="00441EAC" w:rsidRDefault="00783731">
            <w:pPr>
              <w:outlineLvl w:val="0"/>
              <w:rPr>
                <w:b/>
                <w:bCs/>
                <w:color w:val="000000"/>
                <w:sz w:val="20"/>
                <w:szCs w:val="20"/>
              </w:rPr>
            </w:pPr>
            <w:r w:rsidRPr="00441EAC">
              <w:rPr>
                <w:b/>
                <w:bCs/>
                <w:color w:val="000000"/>
                <w:sz w:val="20"/>
                <w:szCs w:val="20"/>
              </w:rPr>
              <w:t>Cost</w:t>
            </w:r>
          </w:p>
        </w:tc>
        <w:tc>
          <w:tcPr>
            <w:tcW w:w="1294" w:type="dxa"/>
            <w:tcBorders>
              <w:top w:val="nil"/>
              <w:left w:val="nil"/>
              <w:bottom w:val="nil"/>
              <w:right w:val="nil"/>
            </w:tcBorders>
            <w:shd w:val="clear" w:color="auto" w:fill="auto"/>
            <w:vAlign w:val="center"/>
            <w:hideMark/>
          </w:tcPr>
          <w:p w14:paraId="6BCF82E0" w14:textId="77777777" w:rsidR="00783731" w:rsidRPr="00441EAC" w:rsidRDefault="00783731">
            <w:pPr>
              <w:outlineLvl w:val="0"/>
              <w:rPr>
                <w:b/>
                <w:bCs/>
                <w:color w:val="000000"/>
                <w:sz w:val="20"/>
                <w:szCs w:val="20"/>
              </w:rPr>
            </w:pPr>
          </w:p>
        </w:tc>
        <w:tc>
          <w:tcPr>
            <w:tcW w:w="1095" w:type="dxa"/>
            <w:tcBorders>
              <w:top w:val="nil"/>
              <w:left w:val="nil"/>
              <w:bottom w:val="nil"/>
              <w:right w:val="nil"/>
            </w:tcBorders>
            <w:shd w:val="clear" w:color="auto" w:fill="auto"/>
            <w:vAlign w:val="center"/>
            <w:hideMark/>
          </w:tcPr>
          <w:p w14:paraId="12DCB9E6" w14:textId="77777777" w:rsidR="00783731" w:rsidRPr="00441EAC" w:rsidRDefault="00783731">
            <w:pPr>
              <w:outlineLvl w:val="0"/>
              <w:rPr>
                <w:sz w:val="20"/>
                <w:szCs w:val="20"/>
              </w:rPr>
            </w:pPr>
          </w:p>
        </w:tc>
        <w:tc>
          <w:tcPr>
            <w:tcW w:w="1104" w:type="dxa"/>
            <w:tcBorders>
              <w:top w:val="nil"/>
              <w:left w:val="nil"/>
              <w:bottom w:val="nil"/>
              <w:right w:val="nil"/>
            </w:tcBorders>
            <w:shd w:val="clear" w:color="auto" w:fill="auto"/>
            <w:vAlign w:val="center"/>
            <w:hideMark/>
          </w:tcPr>
          <w:p w14:paraId="38D45D09" w14:textId="77777777" w:rsidR="00783731" w:rsidRPr="00441EAC" w:rsidRDefault="00783731">
            <w:pPr>
              <w:outlineLvl w:val="0"/>
              <w:rPr>
                <w:sz w:val="20"/>
                <w:szCs w:val="20"/>
              </w:rPr>
            </w:pPr>
          </w:p>
        </w:tc>
        <w:tc>
          <w:tcPr>
            <w:tcW w:w="1094" w:type="dxa"/>
            <w:tcBorders>
              <w:top w:val="nil"/>
              <w:left w:val="nil"/>
              <w:bottom w:val="nil"/>
              <w:right w:val="nil"/>
            </w:tcBorders>
            <w:shd w:val="clear" w:color="auto" w:fill="auto"/>
            <w:vAlign w:val="center"/>
            <w:hideMark/>
          </w:tcPr>
          <w:p w14:paraId="4601E9C0" w14:textId="77777777" w:rsidR="00783731" w:rsidRPr="00441EAC" w:rsidRDefault="00783731">
            <w:pPr>
              <w:outlineLvl w:val="0"/>
              <w:rPr>
                <w:sz w:val="20"/>
                <w:szCs w:val="20"/>
              </w:rPr>
            </w:pPr>
          </w:p>
        </w:tc>
        <w:tc>
          <w:tcPr>
            <w:tcW w:w="1280" w:type="dxa"/>
            <w:tcBorders>
              <w:top w:val="nil"/>
              <w:left w:val="nil"/>
              <w:bottom w:val="nil"/>
              <w:right w:val="nil"/>
            </w:tcBorders>
            <w:shd w:val="clear" w:color="auto" w:fill="auto"/>
            <w:vAlign w:val="bottom"/>
            <w:hideMark/>
          </w:tcPr>
          <w:p w14:paraId="52714F87" w14:textId="77777777" w:rsidR="00783731" w:rsidRPr="00441EAC" w:rsidRDefault="00783731">
            <w:pPr>
              <w:outlineLvl w:val="0"/>
              <w:rPr>
                <w:sz w:val="20"/>
                <w:szCs w:val="20"/>
              </w:rPr>
            </w:pPr>
          </w:p>
        </w:tc>
      </w:tr>
      <w:tr w:rsidR="00783731" w:rsidRPr="00441EAC" w14:paraId="62ECAE13" w14:textId="77777777" w:rsidTr="00866470">
        <w:trPr>
          <w:trHeight w:val="288"/>
        </w:trPr>
        <w:tc>
          <w:tcPr>
            <w:tcW w:w="3033" w:type="dxa"/>
            <w:tcBorders>
              <w:top w:val="nil"/>
              <w:left w:val="nil"/>
              <w:bottom w:val="nil"/>
              <w:right w:val="nil"/>
            </w:tcBorders>
            <w:shd w:val="clear" w:color="auto" w:fill="auto"/>
            <w:vAlign w:val="center"/>
            <w:hideMark/>
          </w:tcPr>
          <w:p w14:paraId="34384678" w14:textId="77777777" w:rsidR="00783731" w:rsidRPr="00441EAC" w:rsidRDefault="00783731">
            <w:pPr>
              <w:outlineLvl w:val="0"/>
              <w:rPr>
                <w:color w:val="000000"/>
                <w:sz w:val="20"/>
                <w:szCs w:val="20"/>
              </w:rPr>
            </w:pPr>
            <w:r w:rsidRPr="00441EAC">
              <w:rPr>
                <w:color w:val="000000"/>
                <w:sz w:val="20"/>
                <w:szCs w:val="20"/>
              </w:rPr>
              <w:t>December 31, 2019</w:t>
            </w:r>
          </w:p>
        </w:tc>
        <w:tc>
          <w:tcPr>
            <w:tcW w:w="1294" w:type="dxa"/>
            <w:tcBorders>
              <w:top w:val="nil"/>
              <w:left w:val="nil"/>
              <w:bottom w:val="nil"/>
              <w:right w:val="nil"/>
            </w:tcBorders>
            <w:shd w:val="clear" w:color="auto" w:fill="auto"/>
            <w:vAlign w:val="center"/>
            <w:hideMark/>
          </w:tcPr>
          <w:p w14:paraId="6DF44827" w14:textId="77777777" w:rsidR="00783731" w:rsidRPr="00441EAC" w:rsidRDefault="00783731">
            <w:pPr>
              <w:outlineLvl w:val="0"/>
              <w:rPr>
                <w:color w:val="000000"/>
                <w:sz w:val="20"/>
                <w:szCs w:val="20"/>
              </w:rPr>
            </w:pPr>
            <w:r w:rsidRPr="00441EAC">
              <w:rPr>
                <w:color w:val="000000"/>
                <w:sz w:val="20"/>
                <w:szCs w:val="20"/>
              </w:rPr>
              <w:t xml:space="preserve"> $        5,404 </w:t>
            </w:r>
          </w:p>
        </w:tc>
        <w:tc>
          <w:tcPr>
            <w:tcW w:w="1095" w:type="dxa"/>
            <w:tcBorders>
              <w:top w:val="nil"/>
              <w:left w:val="nil"/>
              <w:bottom w:val="nil"/>
              <w:right w:val="nil"/>
            </w:tcBorders>
            <w:shd w:val="clear" w:color="auto" w:fill="auto"/>
            <w:vAlign w:val="center"/>
            <w:hideMark/>
          </w:tcPr>
          <w:p w14:paraId="4F80E2D9" w14:textId="1C20602E" w:rsidR="00783731" w:rsidRPr="00441EAC" w:rsidRDefault="00783731">
            <w:pPr>
              <w:outlineLvl w:val="0"/>
              <w:rPr>
                <w:color w:val="000000"/>
                <w:sz w:val="20"/>
                <w:szCs w:val="20"/>
              </w:rPr>
            </w:pPr>
            <w:r w:rsidRPr="00441EAC">
              <w:rPr>
                <w:color w:val="000000"/>
                <w:sz w:val="20"/>
                <w:szCs w:val="20"/>
              </w:rPr>
              <w:t xml:space="preserve"> $ 510,637 </w:t>
            </w:r>
          </w:p>
        </w:tc>
        <w:tc>
          <w:tcPr>
            <w:tcW w:w="1104" w:type="dxa"/>
            <w:tcBorders>
              <w:top w:val="nil"/>
              <w:left w:val="nil"/>
              <w:bottom w:val="nil"/>
              <w:right w:val="nil"/>
            </w:tcBorders>
            <w:shd w:val="clear" w:color="auto" w:fill="auto"/>
            <w:vAlign w:val="center"/>
            <w:hideMark/>
          </w:tcPr>
          <w:p w14:paraId="1E8B8137" w14:textId="7621BA33" w:rsidR="00783731" w:rsidRPr="00441EAC" w:rsidRDefault="00783731">
            <w:pPr>
              <w:outlineLvl w:val="0"/>
              <w:rPr>
                <w:color w:val="000000"/>
                <w:sz w:val="20"/>
                <w:szCs w:val="20"/>
              </w:rPr>
            </w:pPr>
            <w:r w:rsidRPr="00441EAC">
              <w:rPr>
                <w:color w:val="000000"/>
                <w:sz w:val="20"/>
                <w:szCs w:val="20"/>
              </w:rPr>
              <w:t xml:space="preserve"> $   31,226 </w:t>
            </w:r>
          </w:p>
        </w:tc>
        <w:tc>
          <w:tcPr>
            <w:tcW w:w="1094" w:type="dxa"/>
            <w:tcBorders>
              <w:top w:val="nil"/>
              <w:left w:val="nil"/>
              <w:bottom w:val="nil"/>
              <w:right w:val="nil"/>
            </w:tcBorders>
            <w:shd w:val="clear" w:color="auto" w:fill="auto"/>
            <w:vAlign w:val="center"/>
            <w:hideMark/>
          </w:tcPr>
          <w:p w14:paraId="68E8E169" w14:textId="77777777" w:rsidR="00783731" w:rsidRPr="00441EAC" w:rsidRDefault="00783731">
            <w:pPr>
              <w:outlineLvl w:val="0"/>
              <w:rPr>
                <w:color w:val="000000"/>
                <w:sz w:val="20"/>
                <w:szCs w:val="20"/>
              </w:rPr>
            </w:pPr>
            <w:r w:rsidRPr="00441EAC">
              <w:rPr>
                <w:color w:val="000000"/>
                <w:sz w:val="20"/>
                <w:szCs w:val="20"/>
              </w:rPr>
              <w:t xml:space="preserve"> $  22,050 </w:t>
            </w:r>
          </w:p>
        </w:tc>
        <w:tc>
          <w:tcPr>
            <w:tcW w:w="1280" w:type="dxa"/>
            <w:tcBorders>
              <w:top w:val="nil"/>
              <w:left w:val="nil"/>
              <w:bottom w:val="nil"/>
              <w:right w:val="nil"/>
            </w:tcBorders>
            <w:shd w:val="clear" w:color="auto" w:fill="auto"/>
            <w:vAlign w:val="center"/>
            <w:hideMark/>
          </w:tcPr>
          <w:p w14:paraId="491C6F75" w14:textId="06F13FCD" w:rsidR="00783731" w:rsidRPr="00441EAC" w:rsidRDefault="00783731">
            <w:pPr>
              <w:outlineLvl w:val="0"/>
              <w:rPr>
                <w:color w:val="000000"/>
                <w:sz w:val="20"/>
                <w:szCs w:val="20"/>
              </w:rPr>
            </w:pPr>
            <w:r w:rsidRPr="00441EAC">
              <w:rPr>
                <w:color w:val="000000"/>
                <w:sz w:val="20"/>
                <w:szCs w:val="20"/>
              </w:rPr>
              <w:t xml:space="preserve"> $     569,317 </w:t>
            </w:r>
          </w:p>
        </w:tc>
      </w:tr>
      <w:tr w:rsidR="00783731" w:rsidRPr="00441EAC" w14:paraId="59AD005C" w14:textId="77777777" w:rsidTr="00866470">
        <w:trPr>
          <w:trHeight w:val="288"/>
        </w:trPr>
        <w:tc>
          <w:tcPr>
            <w:tcW w:w="3033" w:type="dxa"/>
            <w:tcBorders>
              <w:top w:val="nil"/>
              <w:left w:val="nil"/>
              <w:bottom w:val="single" w:sz="4" w:space="0" w:color="auto"/>
              <w:right w:val="nil"/>
            </w:tcBorders>
            <w:shd w:val="clear" w:color="auto" w:fill="auto"/>
            <w:vAlign w:val="center"/>
            <w:hideMark/>
          </w:tcPr>
          <w:p w14:paraId="2CDEEF30" w14:textId="77777777" w:rsidR="00783731" w:rsidRPr="00441EAC" w:rsidRDefault="00783731">
            <w:pPr>
              <w:ind w:firstLineChars="100" w:firstLine="200"/>
              <w:outlineLvl w:val="0"/>
              <w:rPr>
                <w:color w:val="000000"/>
                <w:sz w:val="20"/>
                <w:szCs w:val="20"/>
              </w:rPr>
            </w:pPr>
            <w:r w:rsidRPr="00441EAC">
              <w:rPr>
                <w:color w:val="000000"/>
                <w:sz w:val="20"/>
                <w:szCs w:val="20"/>
              </w:rPr>
              <w:t>Additions</w:t>
            </w:r>
          </w:p>
        </w:tc>
        <w:tc>
          <w:tcPr>
            <w:tcW w:w="1294" w:type="dxa"/>
            <w:tcBorders>
              <w:top w:val="nil"/>
              <w:left w:val="nil"/>
              <w:bottom w:val="single" w:sz="4" w:space="0" w:color="auto"/>
              <w:right w:val="nil"/>
            </w:tcBorders>
            <w:shd w:val="clear" w:color="auto" w:fill="auto"/>
            <w:vAlign w:val="center"/>
            <w:hideMark/>
          </w:tcPr>
          <w:p w14:paraId="7F8AC792" w14:textId="77777777" w:rsidR="00783731" w:rsidRPr="00441EAC" w:rsidRDefault="00783731">
            <w:pPr>
              <w:jc w:val="right"/>
              <w:outlineLvl w:val="0"/>
              <w:rPr>
                <w:color w:val="000000"/>
                <w:sz w:val="20"/>
                <w:szCs w:val="20"/>
              </w:rPr>
            </w:pPr>
            <w:r w:rsidRPr="00441EAC">
              <w:rPr>
                <w:color w:val="000000"/>
                <w:sz w:val="20"/>
                <w:szCs w:val="20"/>
              </w:rPr>
              <w:t xml:space="preserve">- </w:t>
            </w:r>
          </w:p>
        </w:tc>
        <w:tc>
          <w:tcPr>
            <w:tcW w:w="1095" w:type="dxa"/>
            <w:tcBorders>
              <w:top w:val="nil"/>
              <w:left w:val="nil"/>
              <w:bottom w:val="single" w:sz="4" w:space="0" w:color="auto"/>
              <w:right w:val="nil"/>
            </w:tcBorders>
            <w:shd w:val="clear" w:color="auto" w:fill="auto"/>
            <w:vAlign w:val="center"/>
            <w:hideMark/>
          </w:tcPr>
          <w:p w14:paraId="0A1722A7" w14:textId="77777777" w:rsidR="00783731" w:rsidRPr="00441EAC" w:rsidRDefault="00783731">
            <w:pPr>
              <w:jc w:val="right"/>
              <w:outlineLvl w:val="0"/>
              <w:rPr>
                <w:color w:val="000000"/>
                <w:sz w:val="20"/>
                <w:szCs w:val="20"/>
              </w:rPr>
            </w:pPr>
            <w:r w:rsidRPr="00441EAC">
              <w:rPr>
                <w:color w:val="000000"/>
                <w:sz w:val="20"/>
                <w:szCs w:val="20"/>
              </w:rPr>
              <w:t xml:space="preserve">- </w:t>
            </w:r>
          </w:p>
        </w:tc>
        <w:tc>
          <w:tcPr>
            <w:tcW w:w="1104" w:type="dxa"/>
            <w:tcBorders>
              <w:top w:val="nil"/>
              <w:left w:val="nil"/>
              <w:bottom w:val="single" w:sz="4" w:space="0" w:color="auto"/>
              <w:right w:val="nil"/>
            </w:tcBorders>
            <w:shd w:val="clear" w:color="auto" w:fill="auto"/>
            <w:vAlign w:val="center"/>
            <w:hideMark/>
          </w:tcPr>
          <w:p w14:paraId="349928D3" w14:textId="77777777" w:rsidR="00783731" w:rsidRPr="00441EAC" w:rsidRDefault="00783731">
            <w:pPr>
              <w:jc w:val="right"/>
              <w:outlineLvl w:val="0"/>
              <w:rPr>
                <w:color w:val="000000"/>
                <w:sz w:val="20"/>
                <w:szCs w:val="20"/>
              </w:rPr>
            </w:pPr>
            <w:r w:rsidRPr="00441EAC">
              <w:rPr>
                <w:color w:val="000000"/>
                <w:sz w:val="20"/>
                <w:szCs w:val="20"/>
              </w:rPr>
              <w:t xml:space="preserve">4,135 </w:t>
            </w:r>
          </w:p>
        </w:tc>
        <w:tc>
          <w:tcPr>
            <w:tcW w:w="1094" w:type="dxa"/>
            <w:tcBorders>
              <w:top w:val="nil"/>
              <w:left w:val="nil"/>
              <w:bottom w:val="single" w:sz="4" w:space="0" w:color="auto"/>
              <w:right w:val="nil"/>
            </w:tcBorders>
            <w:shd w:val="clear" w:color="auto" w:fill="auto"/>
            <w:vAlign w:val="center"/>
            <w:hideMark/>
          </w:tcPr>
          <w:p w14:paraId="72BFFD6B" w14:textId="77777777" w:rsidR="00783731" w:rsidRPr="00441EAC" w:rsidRDefault="00783731">
            <w:pPr>
              <w:jc w:val="right"/>
              <w:outlineLvl w:val="0"/>
              <w:rPr>
                <w:color w:val="000000"/>
                <w:sz w:val="20"/>
                <w:szCs w:val="20"/>
              </w:rPr>
            </w:pPr>
            <w:r w:rsidRPr="00441EAC">
              <w:rPr>
                <w:color w:val="000000"/>
                <w:sz w:val="20"/>
                <w:szCs w:val="20"/>
              </w:rPr>
              <w:t xml:space="preserve">- </w:t>
            </w:r>
          </w:p>
        </w:tc>
        <w:tc>
          <w:tcPr>
            <w:tcW w:w="1280" w:type="dxa"/>
            <w:tcBorders>
              <w:top w:val="nil"/>
              <w:left w:val="nil"/>
              <w:bottom w:val="single" w:sz="4" w:space="0" w:color="auto"/>
              <w:right w:val="nil"/>
            </w:tcBorders>
            <w:shd w:val="clear" w:color="auto" w:fill="auto"/>
            <w:vAlign w:val="center"/>
            <w:hideMark/>
          </w:tcPr>
          <w:p w14:paraId="4A69D8BF" w14:textId="77777777" w:rsidR="00783731" w:rsidRPr="00441EAC" w:rsidRDefault="00783731">
            <w:pPr>
              <w:jc w:val="right"/>
              <w:outlineLvl w:val="0"/>
              <w:rPr>
                <w:color w:val="000000"/>
                <w:sz w:val="20"/>
                <w:szCs w:val="20"/>
              </w:rPr>
            </w:pPr>
            <w:r w:rsidRPr="00441EAC">
              <w:rPr>
                <w:color w:val="000000"/>
                <w:sz w:val="20"/>
                <w:szCs w:val="20"/>
              </w:rPr>
              <w:t xml:space="preserve">4,135 </w:t>
            </w:r>
          </w:p>
        </w:tc>
      </w:tr>
      <w:tr w:rsidR="00783731" w:rsidRPr="00441EAC" w14:paraId="34EF4FA2" w14:textId="77777777" w:rsidTr="00866470">
        <w:trPr>
          <w:trHeight w:val="264"/>
        </w:trPr>
        <w:tc>
          <w:tcPr>
            <w:tcW w:w="3033" w:type="dxa"/>
            <w:tcBorders>
              <w:top w:val="nil"/>
              <w:left w:val="nil"/>
              <w:bottom w:val="nil"/>
              <w:right w:val="nil"/>
            </w:tcBorders>
            <w:shd w:val="clear" w:color="auto" w:fill="auto"/>
            <w:vAlign w:val="center"/>
            <w:hideMark/>
          </w:tcPr>
          <w:p w14:paraId="5CF3B59E" w14:textId="77777777" w:rsidR="00783731" w:rsidRPr="00441EAC" w:rsidRDefault="00783731">
            <w:pPr>
              <w:jc w:val="right"/>
              <w:outlineLvl w:val="0"/>
              <w:rPr>
                <w:color w:val="000000"/>
                <w:sz w:val="20"/>
                <w:szCs w:val="20"/>
              </w:rPr>
            </w:pPr>
          </w:p>
        </w:tc>
        <w:tc>
          <w:tcPr>
            <w:tcW w:w="1294" w:type="dxa"/>
            <w:tcBorders>
              <w:top w:val="nil"/>
              <w:left w:val="nil"/>
              <w:bottom w:val="nil"/>
              <w:right w:val="nil"/>
            </w:tcBorders>
            <w:shd w:val="clear" w:color="auto" w:fill="auto"/>
            <w:vAlign w:val="center"/>
            <w:hideMark/>
          </w:tcPr>
          <w:p w14:paraId="0C8B5355" w14:textId="77777777" w:rsidR="00783731" w:rsidRPr="00441EAC" w:rsidRDefault="00783731">
            <w:pPr>
              <w:rPr>
                <w:sz w:val="20"/>
                <w:szCs w:val="20"/>
              </w:rPr>
            </w:pPr>
          </w:p>
        </w:tc>
        <w:tc>
          <w:tcPr>
            <w:tcW w:w="1095" w:type="dxa"/>
            <w:tcBorders>
              <w:top w:val="nil"/>
              <w:left w:val="nil"/>
              <w:bottom w:val="nil"/>
              <w:right w:val="nil"/>
            </w:tcBorders>
            <w:shd w:val="clear" w:color="auto" w:fill="auto"/>
            <w:vAlign w:val="center"/>
            <w:hideMark/>
          </w:tcPr>
          <w:p w14:paraId="58088AB1" w14:textId="77777777" w:rsidR="00783731" w:rsidRPr="00441EAC" w:rsidRDefault="00783731">
            <w:pPr>
              <w:rPr>
                <w:sz w:val="20"/>
                <w:szCs w:val="20"/>
              </w:rPr>
            </w:pPr>
          </w:p>
        </w:tc>
        <w:tc>
          <w:tcPr>
            <w:tcW w:w="1104" w:type="dxa"/>
            <w:tcBorders>
              <w:top w:val="nil"/>
              <w:left w:val="nil"/>
              <w:bottom w:val="nil"/>
              <w:right w:val="nil"/>
            </w:tcBorders>
            <w:shd w:val="clear" w:color="auto" w:fill="auto"/>
            <w:vAlign w:val="center"/>
            <w:hideMark/>
          </w:tcPr>
          <w:p w14:paraId="5ABD8596" w14:textId="77777777" w:rsidR="00783731" w:rsidRPr="00441EAC" w:rsidRDefault="00783731">
            <w:pPr>
              <w:rPr>
                <w:sz w:val="20"/>
                <w:szCs w:val="20"/>
              </w:rPr>
            </w:pPr>
          </w:p>
        </w:tc>
        <w:tc>
          <w:tcPr>
            <w:tcW w:w="1094" w:type="dxa"/>
            <w:tcBorders>
              <w:top w:val="nil"/>
              <w:left w:val="nil"/>
              <w:bottom w:val="nil"/>
              <w:right w:val="nil"/>
            </w:tcBorders>
            <w:shd w:val="clear" w:color="auto" w:fill="auto"/>
            <w:vAlign w:val="center"/>
            <w:hideMark/>
          </w:tcPr>
          <w:p w14:paraId="33BAAACD" w14:textId="77777777" w:rsidR="00783731" w:rsidRPr="00441EAC" w:rsidRDefault="00783731">
            <w:pPr>
              <w:rPr>
                <w:sz w:val="20"/>
                <w:szCs w:val="20"/>
              </w:rPr>
            </w:pPr>
          </w:p>
        </w:tc>
        <w:tc>
          <w:tcPr>
            <w:tcW w:w="1280" w:type="dxa"/>
            <w:tcBorders>
              <w:top w:val="nil"/>
              <w:left w:val="nil"/>
              <w:bottom w:val="nil"/>
              <w:right w:val="nil"/>
            </w:tcBorders>
            <w:shd w:val="clear" w:color="auto" w:fill="auto"/>
            <w:vAlign w:val="center"/>
            <w:hideMark/>
          </w:tcPr>
          <w:p w14:paraId="1B37561D" w14:textId="77777777" w:rsidR="00783731" w:rsidRPr="00441EAC" w:rsidRDefault="00783731">
            <w:pPr>
              <w:rPr>
                <w:sz w:val="20"/>
                <w:szCs w:val="20"/>
              </w:rPr>
            </w:pPr>
          </w:p>
        </w:tc>
      </w:tr>
      <w:tr w:rsidR="00441EAC" w:rsidRPr="0007463E" w14:paraId="600CA9AA" w14:textId="77777777" w:rsidTr="00441EAC">
        <w:trPr>
          <w:trHeight w:val="264"/>
        </w:trPr>
        <w:tc>
          <w:tcPr>
            <w:tcW w:w="3033" w:type="dxa"/>
            <w:tcBorders>
              <w:top w:val="nil"/>
              <w:left w:val="nil"/>
              <w:right w:val="nil"/>
            </w:tcBorders>
            <w:shd w:val="clear" w:color="auto" w:fill="auto"/>
            <w:vAlign w:val="center"/>
            <w:hideMark/>
          </w:tcPr>
          <w:p w14:paraId="5BCEBD10" w14:textId="6CD10684" w:rsidR="00441EAC" w:rsidRPr="00441EAC" w:rsidRDefault="00441EAC" w:rsidP="00441EAC">
            <w:pPr>
              <w:rPr>
                <w:color w:val="000000"/>
                <w:sz w:val="20"/>
                <w:szCs w:val="20"/>
              </w:rPr>
            </w:pPr>
            <w:r w:rsidRPr="00441EAC">
              <w:rPr>
                <w:color w:val="000000"/>
                <w:sz w:val="20"/>
                <w:szCs w:val="20"/>
              </w:rPr>
              <w:t xml:space="preserve">December 31, </w:t>
            </w:r>
            <w:proofErr w:type="gramStart"/>
            <w:r w:rsidRPr="00441EAC">
              <w:rPr>
                <w:color w:val="000000"/>
                <w:sz w:val="20"/>
                <w:szCs w:val="20"/>
              </w:rPr>
              <w:t>2020</w:t>
            </w:r>
            <w:proofErr w:type="gramEnd"/>
            <w:r w:rsidRPr="00441EAC">
              <w:rPr>
                <w:color w:val="000000"/>
                <w:sz w:val="20"/>
                <w:szCs w:val="20"/>
              </w:rPr>
              <w:t xml:space="preserve"> </w:t>
            </w:r>
          </w:p>
        </w:tc>
        <w:tc>
          <w:tcPr>
            <w:tcW w:w="1294" w:type="dxa"/>
            <w:tcBorders>
              <w:top w:val="nil"/>
              <w:left w:val="nil"/>
              <w:right w:val="nil"/>
            </w:tcBorders>
            <w:shd w:val="clear" w:color="auto" w:fill="auto"/>
            <w:vAlign w:val="center"/>
            <w:hideMark/>
          </w:tcPr>
          <w:p w14:paraId="2537E608" w14:textId="588597A7" w:rsidR="00441EAC" w:rsidRPr="00441EAC" w:rsidRDefault="00441EAC" w:rsidP="00441EAC">
            <w:pPr>
              <w:rPr>
                <w:color w:val="000000"/>
                <w:sz w:val="20"/>
                <w:szCs w:val="20"/>
              </w:rPr>
            </w:pPr>
            <w:r w:rsidRPr="00441EAC">
              <w:rPr>
                <w:color w:val="000000"/>
                <w:sz w:val="20"/>
                <w:szCs w:val="20"/>
              </w:rPr>
              <w:t xml:space="preserve"> $        5,404 </w:t>
            </w:r>
          </w:p>
        </w:tc>
        <w:tc>
          <w:tcPr>
            <w:tcW w:w="1095" w:type="dxa"/>
            <w:tcBorders>
              <w:top w:val="nil"/>
              <w:left w:val="nil"/>
              <w:right w:val="nil"/>
            </w:tcBorders>
            <w:shd w:val="clear" w:color="auto" w:fill="auto"/>
            <w:vAlign w:val="center"/>
            <w:hideMark/>
          </w:tcPr>
          <w:p w14:paraId="6C8084DD" w14:textId="1817C16E" w:rsidR="00441EAC" w:rsidRPr="00441EAC" w:rsidRDefault="00441EAC" w:rsidP="00441EAC">
            <w:pPr>
              <w:rPr>
                <w:sz w:val="20"/>
                <w:szCs w:val="20"/>
              </w:rPr>
            </w:pPr>
            <w:r w:rsidRPr="00441EAC">
              <w:rPr>
                <w:color w:val="000000"/>
                <w:sz w:val="20"/>
                <w:szCs w:val="20"/>
              </w:rPr>
              <w:t xml:space="preserve"> $ 510,637 </w:t>
            </w:r>
          </w:p>
        </w:tc>
        <w:tc>
          <w:tcPr>
            <w:tcW w:w="1104" w:type="dxa"/>
            <w:tcBorders>
              <w:top w:val="nil"/>
              <w:left w:val="nil"/>
              <w:right w:val="nil"/>
            </w:tcBorders>
            <w:shd w:val="clear" w:color="auto" w:fill="auto"/>
            <w:vAlign w:val="center"/>
            <w:hideMark/>
          </w:tcPr>
          <w:p w14:paraId="197608D3" w14:textId="626451AE" w:rsidR="00441EAC" w:rsidRPr="00441EAC" w:rsidRDefault="00441EAC" w:rsidP="00441EAC">
            <w:pPr>
              <w:rPr>
                <w:sz w:val="20"/>
                <w:szCs w:val="20"/>
              </w:rPr>
            </w:pPr>
            <w:r w:rsidRPr="00441EAC">
              <w:rPr>
                <w:color w:val="000000"/>
                <w:sz w:val="20"/>
                <w:szCs w:val="20"/>
              </w:rPr>
              <w:t xml:space="preserve"> $   35,361 </w:t>
            </w:r>
          </w:p>
        </w:tc>
        <w:tc>
          <w:tcPr>
            <w:tcW w:w="1094" w:type="dxa"/>
            <w:tcBorders>
              <w:top w:val="nil"/>
              <w:left w:val="nil"/>
              <w:right w:val="nil"/>
            </w:tcBorders>
            <w:shd w:val="clear" w:color="auto" w:fill="auto"/>
            <w:vAlign w:val="center"/>
            <w:hideMark/>
          </w:tcPr>
          <w:p w14:paraId="603D47EA" w14:textId="3D9E6D4F" w:rsidR="00441EAC" w:rsidRPr="00441EAC" w:rsidRDefault="00441EAC" w:rsidP="00441EAC">
            <w:pPr>
              <w:rPr>
                <w:sz w:val="20"/>
                <w:szCs w:val="20"/>
              </w:rPr>
            </w:pPr>
            <w:r w:rsidRPr="00441EAC">
              <w:rPr>
                <w:color w:val="000000"/>
                <w:sz w:val="20"/>
                <w:szCs w:val="20"/>
              </w:rPr>
              <w:t xml:space="preserve"> $  22,050 </w:t>
            </w:r>
          </w:p>
        </w:tc>
        <w:tc>
          <w:tcPr>
            <w:tcW w:w="1280" w:type="dxa"/>
            <w:tcBorders>
              <w:top w:val="nil"/>
              <w:left w:val="nil"/>
              <w:right w:val="nil"/>
            </w:tcBorders>
            <w:shd w:val="clear" w:color="auto" w:fill="auto"/>
            <w:vAlign w:val="center"/>
            <w:hideMark/>
          </w:tcPr>
          <w:p w14:paraId="29FCBDDE" w14:textId="01D43529" w:rsidR="00441EAC" w:rsidRPr="00441EAC" w:rsidRDefault="00441EAC" w:rsidP="00441EAC">
            <w:pPr>
              <w:rPr>
                <w:sz w:val="20"/>
                <w:szCs w:val="20"/>
              </w:rPr>
            </w:pPr>
            <w:r w:rsidRPr="00441EAC">
              <w:rPr>
                <w:color w:val="000000"/>
                <w:sz w:val="20"/>
                <w:szCs w:val="20"/>
              </w:rPr>
              <w:t xml:space="preserve"> $     573,452 </w:t>
            </w:r>
          </w:p>
        </w:tc>
      </w:tr>
      <w:tr w:rsidR="00441EAC" w:rsidRPr="00441EAC" w14:paraId="60C1CBFB" w14:textId="77777777" w:rsidTr="00441EAC">
        <w:trPr>
          <w:trHeight w:val="288"/>
        </w:trPr>
        <w:tc>
          <w:tcPr>
            <w:tcW w:w="3033" w:type="dxa"/>
            <w:tcBorders>
              <w:top w:val="nil"/>
              <w:left w:val="nil"/>
              <w:right w:val="nil"/>
            </w:tcBorders>
            <w:shd w:val="clear" w:color="auto" w:fill="auto"/>
            <w:vAlign w:val="center"/>
            <w:hideMark/>
          </w:tcPr>
          <w:p w14:paraId="1F737F6F" w14:textId="77777777" w:rsidR="00441EAC" w:rsidRPr="00441EAC" w:rsidRDefault="00441EAC" w:rsidP="00BA2C24">
            <w:pPr>
              <w:ind w:firstLineChars="100" w:firstLine="200"/>
              <w:outlineLvl w:val="0"/>
              <w:rPr>
                <w:color w:val="000000"/>
                <w:sz w:val="20"/>
                <w:szCs w:val="20"/>
              </w:rPr>
            </w:pPr>
            <w:r w:rsidRPr="00441EAC">
              <w:rPr>
                <w:color w:val="000000"/>
                <w:sz w:val="20"/>
                <w:szCs w:val="20"/>
              </w:rPr>
              <w:t>Additions</w:t>
            </w:r>
          </w:p>
        </w:tc>
        <w:tc>
          <w:tcPr>
            <w:tcW w:w="1294" w:type="dxa"/>
            <w:tcBorders>
              <w:top w:val="nil"/>
              <w:left w:val="nil"/>
              <w:right w:val="nil"/>
            </w:tcBorders>
            <w:shd w:val="clear" w:color="auto" w:fill="auto"/>
            <w:vAlign w:val="center"/>
            <w:hideMark/>
          </w:tcPr>
          <w:p w14:paraId="2CEC7AD3" w14:textId="77777777"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095" w:type="dxa"/>
            <w:tcBorders>
              <w:top w:val="nil"/>
              <w:left w:val="nil"/>
              <w:right w:val="nil"/>
            </w:tcBorders>
            <w:shd w:val="clear" w:color="auto" w:fill="auto"/>
            <w:vAlign w:val="center"/>
            <w:hideMark/>
          </w:tcPr>
          <w:p w14:paraId="0730CD0B" w14:textId="3322C630" w:rsidR="00441EAC" w:rsidRPr="00441EAC" w:rsidRDefault="00441EAC" w:rsidP="00BA2C24">
            <w:pPr>
              <w:jc w:val="right"/>
              <w:outlineLvl w:val="0"/>
              <w:rPr>
                <w:color w:val="000000"/>
                <w:sz w:val="20"/>
                <w:szCs w:val="20"/>
              </w:rPr>
            </w:pPr>
            <w:r w:rsidRPr="00441EAC">
              <w:rPr>
                <w:color w:val="000000"/>
                <w:sz w:val="20"/>
                <w:szCs w:val="20"/>
              </w:rPr>
              <w:t xml:space="preserve">1,575 </w:t>
            </w:r>
          </w:p>
        </w:tc>
        <w:tc>
          <w:tcPr>
            <w:tcW w:w="1104" w:type="dxa"/>
            <w:tcBorders>
              <w:top w:val="nil"/>
              <w:left w:val="nil"/>
              <w:right w:val="nil"/>
            </w:tcBorders>
            <w:shd w:val="clear" w:color="auto" w:fill="auto"/>
            <w:vAlign w:val="center"/>
            <w:hideMark/>
          </w:tcPr>
          <w:p w14:paraId="7636D10C" w14:textId="1B4DED44"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094" w:type="dxa"/>
            <w:tcBorders>
              <w:top w:val="nil"/>
              <w:left w:val="nil"/>
              <w:right w:val="nil"/>
            </w:tcBorders>
            <w:shd w:val="clear" w:color="auto" w:fill="auto"/>
            <w:vAlign w:val="center"/>
            <w:hideMark/>
          </w:tcPr>
          <w:p w14:paraId="2FFEA016" w14:textId="77777777"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280" w:type="dxa"/>
            <w:tcBorders>
              <w:top w:val="nil"/>
              <w:left w:val="nil"/>
              <w:right w:val="nil"/>
            </w:tcBorders>
            <w:shd w:val="clear" w:color="auto" w:fill="auto"/>
            <w:vAlign w:val="center"/>
            <w:hideMark/>
          </w:tcPr>
          <w:p w14:paraId="56504707" w14:textId="485EB8BA" w:rsidR="00441EAC" w:rsidRPr="00441EAC" w:rsidRDefault="00441EAC" w:rsidP="00BA2C24">
            <w:pPr>
              <w:jc w:val="right"/>
              <w:outlineLvl w:val="0"/>
              <w:rPr>
                <w:color w:val="000000"/>
                <w:sz w:val="20"/>
                <w:szCs w:val="20"/>
              </w:rPr>
            </w:pPr>
            <w:r w:rsidRPr="00441EAC">
              <w:rPr>
                <w:color w:val="000000"/>
                <w:sz w:val="20"/>
                <w:szCs w:val="20"/>
              </w:rPr>
              <w:t xml:space="preserve">1,575 </w:t>
            </w:r>
          </w:p>
        </w:tc>
      </w:tr>
      <w:tr w:rsidR="00441EAC" w:rsidRPr="0007463E" w14:paraId="2D174695" w14:textId="77777777" w:rsidTr="00441EAC">
        <w:trPr>
          <w:trHeight w:val="288"/>
        </w:trPr>
        <w:tc>
          <w:tcPr>
            <w:tcW w:w="3033" w:type="dxa"/>
            <w:tcBorders>
              <w:left w:val="nil"/>
              <w:bottom w:val="single" w:sz="4" w:space="0" w:color="auto"/>
              <w:right w:val="nil"/>
            </w:tcBorders>
            <w:shd w:val="clear" w:color="auto" w:fill="auto"/>
            <w:vAlign w:val="center"/>
            <w:hideMark/>
          </w:tcPr>
          <w:p w14:paraId="347AAF7B" w14:textId="06F55A56" w:rsidR="00441EAC" w:rsidRPr="00441EAC" w:rsidRDefault="00441EAC" w:rsidP="00BA2C24">
            <w:pPr>
              <w:ind w:firstLineChars="100" w:firstLine="200"/>
              <w:outlineLvl w:val="0"/>
              <w:rPr>
                <w:color w:val="000000"/>
                <w:sz w:val="20"/>
                <w:szCs w:val="20"/>
              </w:rPr>
            </w:pPr>
            <w:r w:rsidRPr="00441EAC">
              <w:rPr>
                <w:color w:val="000000"/>
                <w:sz w:val="20"/>
                <w:szCs w:val="20"/>
              </w:rPr>
              <w:t>Disposals</w:t>
            </w:r>
          </w:p>
        </w:tc>
        <w:tc>
          <w:tcPr>
            <w:tcW w:w="1294" w:type="dxa"/>
            <w:tcBorders>
              <w:left w:val="nil"/>
              <w:bottom w:val="single" w:sz="4" w:space="0" w:color="auto"/>
              <w:right w:val="nil"/>
            </w:tcBorders>
            <w:shd w:val="clear" w:color="auto" w:fill="auto"/>
            <w:vAlign w:val="center"/>
            <w:hideMark/>
          </w:tcPr>
          <w:p w14:paraId="61AACBB6" w14:textId="77777777"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095" w:type="dxa"/>
            <w:tcBorders>
              <w:left w:val="nil"/>
              <w:bottom w:val="single" w:sz="4" w:space="0" w:color="auto"/>
              <w:right w:val="nil"/>
            </w:tcBorders>
            <w:shd w:val="clear" w:color="auto" w:fill="auto"/>
            <w:vAlign w:val="center"/>
            <w:hideMark/>
          </w:tcPr>
          <w:p w14:paraId="7055F0A3" w14:textId="012B14FB" w:rsidR="00441EAC" w:rsidRPr="00441EAC" w:rsidRDefault="00441EAC" w:rsidP="00BA2C24">
            <w:pPr>
              <w:jc w:val="right"/>
              <w:outlineLvl w:val="0"/>
              <w:rPr>
                <w:color w:val="000000"/>
                <w:sz w:val="20"/>
                <w:szCs w:val="20"/>
              </w:rPr>
            </w:pPr>
            <w:r w:rsidRPr="00441EAC">
              <w:rPr>
                <w:color w:val="000000"/>
                <w:sz w:val="20"/>
                <w:szCs w:val="20"/>
              </w:rPr>
              <w:t xml:space="preserve">(485,544) </w:t>
            </w:r>
          </w:p>
        </w:tc>
        <w:tc>
          <w:tcPr>
            <w:tcW w:w="1104" w:type="dxa"/>
            <w:tcBorders>
              <w:left w:val="nil"/>
              <w:bottom w:val="single" w:sz="4" w:space="0" w:color="auto"/>
              <w:right w:val="nil"/>
            </w:tcBorders>
            <w:shd w:val="clear" w:color="auto" w:fill="auto"/>
            <w:vAlign w:val="center"/>
            <w:hideMark/>
          </w:tcPr>
          <w:p w14:paraId="2BFD9028" w14:textId="6A81433B"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094" w:type="dxa"/>
            <w:tcBorders>
              <w:left w:val="nil"/>
              <w:bottom w:val="single" w:sz="4" w:space="0" w:color="auto"/>
              <w:right w:val="nil"/>
            </w:tcBorders>
            <w:shd w:val="clear" w:color="auto" w:fill="auto"/>
            <w:vAlign w:val="center"/>
            <w:hideMark/>
          </w:tcPr>
          <w:p w14:paraId="39901A96" w14:textId="77777777" w:rsidR="00441EAC" w:rsidRPr="00441EAC" w:rsidRDefault="00441EAC" w:rsidP="00BA2C24">
            <w:pPr>
              <w:jc w:val="right"/>
              <w:outlineLvl w:val="0"/>
              <w:rPr>
                <w:color w:val="000000"/>
                <w:sz w:val="20"/>
                <w:szCs w:val="20"/>
              </w:rPr>
            </w:pPr>
            <w:r w:rsidRPr="00441EAC">
              <w:rPr>
                <w:color w:val="000000"/>
                <w:sz w:val="20"/>
                <w:szCs w:val="20"/>
              </w:rPr>
              <w:t xml:space="preserve">- </w:t>
            </w:r>
          </w:p>
        </w:tc>
        <w:tc>
          <w:tcPr>
            <w:tcW w:w="1280" w:type="dxa"/>
            <w:tcBorders>
              <w:left w:val="nil"/>
              <w:bottom w:val="single" w:sz="4" w:space="0" w:color="auto"/>
              <w:right w:val="nil"/>
            </w:tcBorders>
            <w:shd w:val="clear" w:color="auto" w:fill="auto"/>
            <w:vAlign w:val="center"/>
            <w:hideMark/>
          </w:tcPr>
          <w:p w14:paraId="6858ADFA" w14:textId="162A98B5" w:rsidR="00441EAC" w:rsidRPr="00441EAC" w:rsidRDefault="00441EAC" w:rsidP="00BA2C24">
            <w:pPr>
              <w:jc w:val="right"/>
              <w:outlineLvl w:val="0"/>
              <w:rPr>
                <w:color w:val="000000"/>
                <w:sz w:val="20"/>
                <w:szCs w:val="20"/>
              </w:rPr>
            </w:pPr>
            <w:r w:rsidRPr="00441EAC">
              <w:rPr>
                <w:color w:val="000000"/>
                <w:sz w:val="20"/>
                <w:szCs w:val="20"/>
              </w:rPr>
              <w:t xml:space="preserve">(485,544) </w:t>
            </w:r>
          </w:p>
        </w:tc>
      </w:tr>
      <w:tr w:rsidR="00441EAC" w:rsidRPr="0007463E" w14:paraId="3DAD4657" w14:textId="77777777" w:rsidTr="00866470">
        <w:trPr>
          <w:trHeight w:val="288"/>
        </w:trPr>
        <w:tc>
          <w:tcPr>
            <w:tcW w:w="3033" w:type="dxa"/>
            <w:tcBorders>
              <w:top w:val="nil"/>
              <w:left w:val="nil"/>
              <w:bottom w:val="single" w:sz="4" w:space="0" w:color="auto"/>
              <w:right w:val="nil"/>
            </w:tcBorders>
            <w:shd w:val="clear" w:color="auto" w:fill="auto"/>
            <w:vAlign w:val="center"/>
            <w:hideMark/>
          </w:tcPr>
          <w:p w14:paraId="60D5CB8D" w14:textId="54BFAFA3" w:rsidR="00441EAC" w:rsidRPr="00441EAC" w:rsidRDefault="00441EAC" w:rsidP="00441EAC">
            <w:pPr>
              <w:rPr>
                <w:color w:val="000000"/>
                <w:sz w:val="20"/>
                <w:szCs w:val="20"/>
              </w:rPr>
            </w:pPr>
            <w:r w:rsidRPr="00441EAC">
              <w:rPr>
                <w:color w:val="000000"/>
                <w:sz w:val="20"/>
                <w:szCs w:val="20"/>
              </w:rPr>
              <w:t>June 30, 2021</w:t>
            </w:r>
          </w:p>
        </w:tc>
        <w:tc>
          <w:tcPr>
            <w:tcW w:w="1294" w:type="dxa"/>
            <w:tcBorders>
              <w:top w:val="nil"/>
              <w:left w:val="nil"/>
              <w:bottom w:val="single" w:sz="4" w:space="0" w:color="auto"/>
              <w:right w:val="nil"/>
            </w:tcBorders>
            <w:shd w:val="clear" w:color="auto" w:fill="auto"/>
            <w:vAlign w:val="center"/>
            <w:hideMark/>
          </w:tcPr>
          <w:p w14:paraId="04EED68A" w14:textId="77777777" w:rsidR="00441EAC" w:rsidRPr="00441EAC" w:rsidRDefault="00441EAC" w:rsidP="00441EAC">
            <w:pPr>
              <w:rPr>
                <w:color w:val="000000"/>
                <w:sz w:val="20"/>
                <w:szCs w:val="20"/>
              </w:rPr>
            </w:pPr>
            <w:r w:rsidRPr="00441EAC">
              <w:rPr>
                <w:color w:val="000000"/>
                <w:sz w:val="20"/>
                <w:szCs w:val="20"/>
              </w:rPr>
              <w:t xml:space="preserve"> $        5,404 </w:t>
            </w:r>
          </w:p>
        </w:tc>
        <w:tc>
          <w:tcPr>
            <w:tcW w:w="1095" w:type="dxa"/>
            <w:tcBorders>
              <w:top w:val="nil"/>
              <w:left w:val="nil"/>
              <w:bottom w:val="single" w:sz="4" w:space="0" w:color="auto"/>
              <w:right w:val="nil"/>
            </w:tcBorders>
            <w:shd w:val="clear" w:color="auto" w:fill="auto"/>
            <w:vAlign w:val="center"/>
            <w:hideMark/>
          </w:tcPr>
          <w:p w14:paraId="59A91857" w14:textId="7BF68590" w:rsidR="00441EAC" w:rsidRPr="00441EAC" w:rsidRDefault="00441EAC" w:rsidP="00441EAC">
            <w:pPr>
              <w:rPr>
                <w:color w:val="000000"/>
                <w:sz w:val="20"/>
                <w:szCs w:val="20"/>
              </w:rPr>
            </w:pPr>
            <w:r w:rsidRPr="00441EAC">
              <w:rPr>
                <w:color w:val="000000"/>
                <w:sz w:val="20"/>
                <w:szCs w:val="20"/>
              </w:rPr>
              <w:t xml:space="preserve"> $   26,668 </w:t>
            </w:r>
          </w:p>
        </w:tc>
        <w:tc>
          <w:tcPr>
            <w:tcW w:w="1104" w:type="dxa"/>
            <w:tcBorders>
              <w:top w:val="nil"/>
              <w:left w:val="nil"/>
              <w:bottom w:val="single" w:sz="4" w:space="0" w:color="auto"/>
              <w:right w:val="nil"/>
            </w:tcBorders>
            <w:shd w:val="clear" w:color="auto" w:fill="auto"/>
            <w:vAlign w:val="center"/>
            <w:hideMark/>
          </w:tcPr>
          <w:p w14:paraId="4717A1E3" w14:textId="1944F2C0" w:rsidR="00441EAC" w:rsidRPr="00441EAC" w:rsidRDefault="00441EAC" w:rsidP="00441EAC">
            <w:pPr>
              <w:rPr>
                <w:color w:val="000000"/>
                <w:sz w:val="20"/>
                <w:szCs w:val="20"/>
              </w:rPr>
            </w:pPr>
            <w:r w:rsidRPr="00441EAC">
              <w:rPr>
                <w:color w:val="000000"/>
                <w:sz w:val="20"/>
                <w:szCs w:val="20"/>
              </w:rPr>
              <w:t xml:space="preserve"> $   35,361 </w:t>
            </w:r>
          </w:p>
        </w:tc>
        <w:tc>
          <w:tcPr>
            <w:tcW w:w="1094" w:type="dxa"/>
            <w:tcBorders>
              <w:top w:val="nil"/>
              <w:left w:val="nil"/>
              <w:bottom w:val="single" w:sz="4" w:space="0" w:color="auto"/>
              <w:right w:val="nil"/>
            </w:tcBorders>
            <w:shd w:val="clear" w:color="auto" w:fill="auto"/>
            <w:vAlign w:val="center"/>
            <w:hideMark/>
          </w:tcPr>
          <w:p w14:paraId="70AA6AF6" w14:textId="77777777" w:rsidR="00441EAC" w:rsidRPr="00441EAC" w:rsidRDefault="00441EAC" w:rsidP="00441EAC">
            <w:pPr>
              <w:rPr>
                <w:color w:val="000000"/>
                <w:sz w:val="20"/>
                <w:szCs w:val="20"/>
              </w:rPr>
            </w:pPr>
            <w:r w:rsidRPr="00441EAC">
              <w:rPr>
                <w:color w:val="000000"/>
                <w:sz w:val="20"/>
                <w:szCs w:val="20"/>
              </w:rPr>
              <w:t xml:space="preserve"> $  22,050 </w:t>
            </w:r>
          </w:p>
        </w:tc>
        <w:tc>
          <w:tcPr>
            <w:tcW w:w="1280" w:type="dxa"/>
            <w:tcBorders>
              <w:top w:val="nil"/>
              <w:left w:val="nil"/>
              <w:bottom w:val="single" w:sz="4" w:space="0" w:color="auto"/>
              <w:right w:val="nil"/>
            </w:tcBorders>
            <w:shd w:val="clear" w:color="auto" w:fill="auto"/>
            <w:vAlign w:val="center"/>
            <w:hideMark/>
          </w:tcPr>
          <w:p w14:paraId="54D655FA" w14:textId="727EBF64" w:rsidR="00441EAC" w:rsidRPr="00441EAC" w:rsidRDefault="00441EAC" w:rsidP="00441EAC">
            <w:pPr>
              <w:rPr>
                <w:color w:val="000000"/>
                <w:sz w:val="20"/>
                <w:szCs w:val="20"/>
              </w:rPr>
            </w:pPr>
            <w:r w:rsidRPr="00441EAC">
              <w:rPr>
                <w:color w:val="000000"/>
                <w:sz w:val="20"/>
                <w:szCs w:val="20"/>
              </w:rPr>
              <w:t xml:space="preserve"> $      89,483</w:t>
            </w:r>
          </w:p>
        </w:tc>
      </w:tr>
      <w:tr w:rsidR="00783731" w:rsidRPr="0007463E" w14:paraId="2DDED60C" w14:textId="77777777" w:rsidTr="00866470">
        <w:trPr>
          <w:trHeight w:val="264"/>
        </w:trPr>
        <w:tc>
          <w:tcPr>
            <w:tcW w:w="3033" w:type="dxa"/>
            <w:tcBorders>
              <w:top w:val="nil"/>
              <w:left w:val="nil"/>
              <w:bottom w:val="nil"/>
              <w:right w:val="nil"/>
            </w:tcBorders>
            <w:shd w:val="clear" w:color="auto" w:fill="auto"/>
            <w:vAlign w:val="center"/>
            <w:hideMark/>
          </w:tcPr>
          <w:p w14:paraId="3B704E5F" w14:textId="77777777" w:rsidR="00783731" w:rsidRPr="0007463E" w:rsidRDefault="00783731">
            <w:pPr>
              <w:rPr>
                <w:color w:val="000000"/>
                <w:sz w:val="20"/>
                <w:szCs w:val="20"/>
                <w:highlight w:val="yellow"/>
              </w:rPr>
            </w:pPr>
          </w:p>
        </w:tc>
        <w:tc>
          <w:tcPr>
            <w:tcW w:w="1294" w:type="dxa"/>
            <w:tcBorders>
              <w:top w:val="nil"/>
              <w:left w:val="nil"/>
              <w:bottom w:val="nil"/>
              <w:right w:val="nil"/>
            </w:tcBorders>
            <w:shd w:val="clear" w:color="auto" w:fill="auto"/>
            <w:vAlign w:val="center"/>
            <w:hideMark/>
          </w:tcPr>
          <w:p w14:paraId="5E7B7963" w14:textId="77777777" w:rsidR="00783731" w:rsidRPr="0007463E" w:rsidRDefault="00783731">
            <w:pPr>
              <w:outlineLvl w:val="0"/>
              <w:rPr>
                <w:sz w:val="20"/>
                <w:szCs w:val="20"/>
                <w:highlight w:val="yellow"/>
              </w:rPr>
            </w:pPr>
          </w:p>
        </w:tc>
        <w:tc>
          <w:tcPr>
            <w:tcW w:w="1095" w:type="dxa"/>
            <w:tcBorders>
              <w:top w:val="nil"/>
              <w:left w:val="nil"/>
              <w:bottom w:val="nil"/>
              <w:right w:val="nil"/>
            </w:tcBorders>
            <w:shd w:val="clear" w:color="auto" w:fill="auto"/>
            <w:vAlign w:val="center"/>
            <w:hideMark/>
          </w:tcPr>
          <w:p w14:paraId="41ECB3DD" w14:textId="77777777" w:rsidR="00783731" w:rsidRPr="0007463E" w:rsidRDefault="00783731">
            <w:pPr>
              <w:outlineLvl w:val="0"/>
              <w:rPr>
                <w:sz w:val="20"/>
                <w:szCs w:val="20"/>
                <w:highlight w:val="yellow"/>
              </w:rPr>
            </w:pPr>
          </w:p>
        </w:tc>
        <w:tc>
          <w:tcPr>
            <w:tcW w:w="1104" w:type="dxa"/>
            <w:tcBorders>
              <w:top w:val="nil"/>
              <w:left w:val="nil"/>
              <w:bottom w:val="nil"/>
              <w:right w:val="nil"/>
            </w:tcBorders>
            <w:shd w:val="clear" w:color="auto" w:fill="auto"/>
            <w:vAlign w:val="center"/>
            <w:hideMark/>
          </w:tcPr>
          <w:p w14:paraId="30BD0A84" w14:textId="77777777" w:rsidR="00783731" w:rsidRPr="0007463E" w:rsidRDefault="00783731">
            <w:pPr>
              <w:outlineLvl w:val="0"/>
              <w:rPr>
                <w:sz w:val="20"/>
                <w:szCs w:val="20"/>
                <w:highlight w:val="yellow"/>
              </w:rPr>
            </w:pPr>
          </w:p>
        </w:tc>
        <w:tc>
          <w:tcPr>
            <w:tcW w:w="1094" w:type="dxa"/>
            <w:tcBorders>
              <w:top w:val="nil"/>
              <w:left w:val="nil"/>
              <w:bottom w:val="nil"/>
              <w:right w:val="nil"/>
            </w:tcBorders>
            <w:shd w:val="clear" w:color="auto" w:fill="auto"/>
            <w:vAlign w:val="center"/>
            <w:hideMark/>
          </w:tcPr>
          <w:p w14:paraId="5F492CA3" w14:textId="77777777" w:rsidR="00783731" w:rsidRPr="0007463E" w:rsidRDefault="00783731">
            <w:pPr>
              <w:outlineLvl w:val="0"/>
              <w:rPr>
                <w:sz w:val="20"/>
                <w:szCs w:val="20"/>
                <w:highlight w:val="yellow"/>
              </w:rPr>
            </w:pPr>
          </w:p>
        </w:tc>
        <w:tc>
          <w:tcPr>
            <w:tcW w:w="1280" w:type="dxa"/>
            <w:tcBorders>
              <w:top w:val="nil"/>
              <w:left w:val="nil"/>
              <w:bottom w:val="nil"/>
              <w:right w:val="nil"/>
            </w:tcBorders>
            <w:shd w:val="clear" w:color="auto" w:fill="auto"/>
            <w:vAlign w:val="center"/>
            <w:hideMark/>
          </w:tcPr>
          <w:p w14:paraId="15425C62" w14:textId="77777777" w:rsidR="00783731" w:rsidRPr="0007463E" w:rsidRDefault="00783731">
            <w:pPr>
              <w:outlineLvl w:val="0"/>
              <w:rPr>
                <w:sz w:val="20"/>
                <w:szCs w:val="20"/>
                <w:highlight w:val="yellow"/>
              </w:rPr>
            </w:pPr>
          </w:p>
        </w:tc>
      </w:tr>
      <w:tr w:rsidR="00783731" w:rsidRPr="00441EAC" w14:paraId="61D307C4" w14:textId="77777777" w:rsidTr="00866470">
        <w:trPr>
          <w:trHeight w:val="264"/>
        </w:trPr>
        <w:tc>
          <w:tcPr>
            <w:tcW w:w="3033" w:type="dxa"/>
            <w:tcBorders>
              <w:top w:val="nil"/>
              <w:left w:val="nil"/>
              <w:bottom w:val="nil"/>
              <w:right w:val="nil"/>
            </w:tcBorders>
            <w:shd w:val="clear" w:color="auto" w:fill="auto"/>
            <w:vAlign w:val="center"/>
            <w:hideMark/>
          </w:tcPr>
          <w:p w14:paraId="58C657E9" w14:textId="77777777" w:rsidR="00783731" w:rsidRPr="00441EAC" w:rsidRDefault="00783731">
            <w:pPr>
              <w:outlineLvl w:val="0"/>
              <w:rPr>
                <w:b/>
                <w:bCs/>
                <w:color w:val="000000"/>
                <w:sz w:val="20"/>
                <w:szCs w:val="20"/>
              </w:rPr>
            </w:pPr>
            <w:r w:rsidRPr="00441EAC">
              <w:rPr>
                <w:b/>
                <w:bCs/>
                <w:color w:val="000000"/>
                <w:sz w:val="20"/>
                <w:szCs w:val="20"/>
              </w:rPr>
              <w:t>Accumulated Amortization</w:t>
            </w:r>
          </w:p>
        </w:tc>
        <w:tc>
          <w:tcPr>
            <w:tcW w:w="1294" w:type="dxa"/>
            <w:tcBorders>
              <w:top w:val="nil"/>
              <w:left w:val="nil"/>
              <w:bottom w:val="nil"/>
              <w:right w:val="nil"/>
            </w:tcBorders>
            <w:shd w:val="clear" w:color="auto" w:fill="auto"/>
            <w:vAlign w:val="center"/>
            <w:hideMark/>
          </w:tcPr>
          <w:p w14:paraId="4C275F69" w14:textId="77777777" w:rsidR="00783731" w:rsidRPr="00441EAC" w:rsidRDefault="00783731">
            <w:pPr>
              <w:outlineLvl w:val="0"/>
              <w:rPr>
                <w:b/>
                <w:bCs/>
                <w:color w:val="000000"/>
                <w:sz w:val="20"/>
                <w:szCs w:val="20"/>
              </w:rPr>
            </w:pPr>
          </w:p>
        </w:tc>
        <w:tc>
          <w:tcPr>
            <w:tcW w:w="1095" w:type="dxa"/>
            <w:tcBorders>
              <w:top w:val="nil"/>
              <w:left w:val="nil"/>
              <w:bottom w:val="nil"/>
              <w:right w:val="nil"/>
            </w:tcBorders>
            <w:shd w:val="clear" w:color="auto" w:fill="auto"/>
            <w:vAlign w:val="center"/>
            <w:hideMark/>
          </w:tcPr>
          <w:p w14:paraId="1D8409DA" w14:textId="77777777" w:rsidR="00783731" w:rsidRPr="00441EAC" w:rsidRDefault="00783731">
            <w:pPr>
              <w:outlineLvl w:val="0"/>
              <w:rPr>
                <w:sz w:val="20"/>
                <w:szCs w:val="20"/>
              </w:rPr>
            </w:pPr>
          </w:p>
        </w:tc>
        <w:tc>
          <w:tcPr>
            <w:tcW w:w="1104" w:type="dxa"/>
            <w:tcBorders>
              <w:top w:val="nil"/>
              <w:left w:val="nil"/>
              <w:bottom w:val="nil"/>
              <w:right w:val="nil"/>
            </w:tcBorders>
            <w:shd w:val="clear" w:color="auto" w:fill="auto"/>
            <w:vAlign w:val="center"/>
            <w:hideMark/>
          </w:tcPr>
          <w:p w14:paraId="6D7AA757" w14:textId="77777777" w:rsidR="00783731" w:rsidRPr="00441EAC" w:rsidRDefault="00783731">
            <w:pPr>
              <w:outlineLvl w:val="0"/>
              <w:rPr>
                <w:sz w:val="20"/>
                <w:szCs w:val="20"/>
              </w:rPr>
            </w:pPr>
          </w:p>
        </w:tc>
        <w:tc>
          <w:tcPr>
            <w:tcW w:w="1094" w:type="dxa"/>
            <w:tcBorders>
              <w:top w:val="nil"/>
              <w:left w:val="nil"/>
              <w:bottom w:val="nil"/>
              <w:right w:val="nil"/>
            </w:tcBorders>
            <w:shd w:val="clear" w:color="auto" w:fill="auto"/>
            <w:vAlign w:val="center"/>
            <w:hideMark/>
          </w:tcPr>
          <w:p w14:paraId="1572A8D2" w14:textId="77777777" w:rsidR="00783731" w:rsidRPr="00441EAC" w:rsidRDefault="00783731">
            <w:pPr>
              <w:outlineLvl w:val="0"/>
              <w:rPr>
                <w:sz w:val="20"/>
                <w:szCs w:val="20"/>
              </w:rPr>
            </w:pPr>
          </w:p>
        </w:tc>
        <w:tc>
          <w:tcPr>
            <w:tcW w:w="1280" w:type="dxa"/>
            <w:tcBorders>
              <w:top w:val="nil"/>
              <w:left w:val="nil"/>
              <w:bottom w:val="nil"/>
              <w:right w:val="nil"/>
            </w:tcBorders>
            <w:shd w:val="clear" w:color="auto" w:fill="auto"/>
            <w:vAlign w:val="center"/>
            <w:hideMark/>
          </w:tcPr>
          <w:p w14:paraId="6AC34FA3" w14:textId="77777777" w:rsidR="00783731" w:rsidRPr="00441EAC" w:rsidRDefault="00783731">
            <w:pPr>
              <w:outlineLvl w:val="0"/>
              <w:rPr>
                <w:sz w:val="20"/>
                <w:szCs w:val="20"/>
              </w:rPr>
            </w:pPr>
          </w:p>
        </w:tc>
      </w:tr>
      <w:tr w:rsidR="00783731" w:rsidRPr="00441EAC" w14:paraId="689D9F7B" w14:textId="77777777" w:rsidTr="00866470">
        <w:trPr>
          <w:trHeight w:val="288"/>
        </w:trPr>
        <w:tc>
          <w:tcPr>
            <w:tcW w:w="3033" w:type="dxa"/>
            <w:tcBorders>
              <w:top w:val="nil"/>
              <w:left w:val="nil"/>
              <w:bottom w:val="nil"/>
              <w:right w:val="nil"/>
            </w:tcBorders>
            <w:shd w:val="clear" w:color="auto" w:fill="auto"/>
            <w:vAlign w:val="center"/>
            <w:hideMark/>
          </w:tcPr>
          <w:p w14:paraId="77DDC517" w14:textId="77777777" w:rsidR="00783731" w:rsidRPr="00441EAC" w:rsidRDefault="00783731">
            <w:pPr>
              <w:rPr>
                <w:color w:val="000000"/>
                <w:sz w:val="20"/>
                <w:szCs w:val="20"/>
              </w:rPr>
            </w:pPr>
            <w:r w:rsidRPr="00441EAC">
              <w:rPr>
                <w:color w:val="000000"/>
                <w:sz w:val="20"/>
                <w:szCs w:val="20"/>
              </w:rPr>
              <w:t>December 31, 2019</w:t>
            </w:r>
          </w:p>
        </w:tc>
        <w:tc>
          <w:tcPr>
            <w:tcW w:w="1294" w:type="dxa"/>
            <w:tcBorders>
              <w:top w:val="nil"/>
              <w:left w:val="nil"/>
              <w:bottom w:val="nil"/>
              <w:right w:val="nil"/>
            </w:tcBorders>
            <w:shd w:val="clear" w:color="auto" w:fill="auto"/>
            <w:vAlign w:val="center"/>
            <w:hideMark/>
          </w:tcPr>
          <w:p w14:paraId="11DEE9DC" w14:textId="77777777" w:rsidR="00783731" w:rsidRPr="00441EAC" w:rsidRDefault="00783731">
            <w:pPr>
              <w:rPr>
                <w:color w:val="000000"/>
                <w:sz w:val="20"/>
                <w:szCs w:val="20"/>
              </w:rPr>
            </w:pPr>
            <w:r w:rsidRPr="00441EAC">
              <w:rPr>
                <w:color w:val="000000"/>
                <w:sz w:val="20"/>
                <w:szCs w:val="20"/>
              </w:rPr>
              <w:t xml:space="preserve"> $        5,404 </w:t>
            </w:r>
          </w:p>
        </w:tc>
        <w:tc>
          <w:tcPr>
            <w:tcW w:w="1095" w:type="dxa"/>
            <w:tcBorders>
              <w:top w:val="nil"/>
              <w:left w:val="nil"/>
              <w:bottom w:val="nil"/>
              <w:right w:val="nil"/>
            </w:tcBorders>
            <w:shd w:val="clear" w:color="auto" w:fill="auto"/>
            <w:vAlign w:val="center"/>
            <w:hideMark/>
          </w:tcPr>
          <w:p w14:paraId="2FBE62FB" w14:textId="3732C5D5" w:rsidR="00783731" w:rsidRPr="00441EAC" w:rsidRDefault="00783731">
            <w:pPr>
              <w:rPr>
                <w:color w:val="000000"/>
                <w:sz w:val="20"/>
                <w:szCs w:val="20"/>
              </w:rPr>
            </w:pPr>
            <w:r w:rsidRPr="00441EAC">
              <w:rPr>
                <w:color w:val="000000"/>
                <w:sz w:val="20"/>
                <w:szCs w:val="20"/>
              </w:rPr>
              <w:t xml:space="preserve"> $   62,664 </w:t>
            </w:r>
          </w:p>
        </w:tc>
        <w:tc>
          <w:tcPr>
            <w:tcW w:w="1104" w:type="dxa"/>
            <w:tcBorders>
              <w:top w:val="nil"/>
              <w:left w:val="nil"/>
              <w:bottom w:val="nil"/>
              <w:right w:val="nil"/>
            </w:tcBorders>
            <w:shd w:val="clear" w:color="auto" w:fill="auto"/>
            <w:vAlign w:val="center"/>
            <w:hideMark/>
          </w:tcPr>
          <w:p w14:paraId="35E80AA8" w14:textId="6AAE2D7E" w:rsidR="00783731" w:rsidRPr="00441EAC" w:rsidRDefault="00783731">
            <w:pPr>
              <w:rPr>
                <w:color w:val="000000"/>
                <w:sz w:val="20"/>
                <w:szCs w:val="20"/>
              </w:rPr>
            </w:pPr>
            <w:r w:rsidRPr="00441EAC">
              <w:rPr>
                <w:color w:val="000000"/>
                <w:sz w:val="20"/>
                <w:szCs w:val="20"/>
              </w:rPr>
              <w:t xml:space="preserve"> $   12,677 </w:t>
            </w:r>
          </w:p>
        </w:tc>
        <w:tc>
          <w:tcPr>
            <w:tcW w:w="1094" w:type="dxa"/>
            <w:tcBorders>
              <w:top w:val="nil"/>
              <w:left w:val="nil"/>
              <w:bottom w:val="nil"/>
              <w:right w:val="nil"/>
            </w:tcBorders>
            <w:shd w:val="clear" w:color="auto" w:fill="auto"/>
            <w:vAlign w:val="center"/>
            <w:hideMark/>
          </w:tcPr>
          <w:p w14:paraId="21ED8FD9" w14:textId="77777777" w:rsidR="00783731" w:rsidRPr="00441EAC" w:rsidRDefault="00783731">
            <w:pPr>
              <w:rPr>
                <w:color w:val="000000"/>
                <w:sz w:val="20"/>
                <w:szCs w:val="20"/>
              </w:rPr>
            </w:pPr>
            <w:r w:rsidRPr="00441EAC">
              <w:rPr>
                <w:color w:val="000000"/>
                <w:sz w:val="20"/>
                <w:szCs w:val="20"/>
              </w:rPr>
              <w:t xml:space="preserve"> $  15,458 </w:t>
            </w:r>
          </w:p>
        </w:tc>
        <w:tc>
          <w:tcPr>
            <w:tcW w:w="1280" w:type="dxa"/>
            <w:tcBorders>
              <w:top w:val="nil"/>
              <w:left w:val="nil"/>
              <w:bottom w:val="nil"/>
              <w:right w:val="nil"/>
            </w:tcBorders>
            <w:shd w:val="clear" w:color="auto" w:fill="auto"/>
            <w:vAlign w:val="center"/>
            <w:hideMark/>
          </w:tcPr>
          <w:p w14:paraId="31B42FE1" w14:textId="1829545E" w:rsidR="00783731" w:rsidRPr="00441EAC" w:rsidRDefault="00783731">
            <w:pPr>
              <w:rPr>
                <w:color w:val="000000"/>
                <w:sz w:val="20"/>
                <w:szCs w:val="20"/>
              </w:rPr>
            </w:pPr>
            <w:r w:rsidRPr="00441EAC">
              <w:rPr>
                <w:color w:val="000000"/>
                <w:sz w:val="20"/>
                <w:szCs w:val="20"/>
              </w:rPr>
              <w:t xml:space="preserve"> $       96,203 </w:t>
            </w:r>
          </w:p>
        </w:tc>
      </w:tr>
      <w:tr w:rsidR="00783731" w:rsidRPr="00441EAC" w14:paraId="170578E6" w14:textId="77777777" w:rsidTr="00866470">
        <w:trPr>
          <w:trHeight w:val="360"/>
        </w:trPr>
        <w:tc>
          <w:tcPr>
            <w:tcW w:w="3033" w:type="dxa"/>
            <w:tcBorders>
              <w:top w:val="nil"/>
              <w:left w:val="nil"/>
              <w:bottom w:val="single" w:sz="4" w:space="0" w:color="auto"/>
              <w:right w:val="nil"/>
            </w:tcBorders>
            <w:shd w:val="clear" w:color="auto" w:fill="auto"/>
            <w:vAlign w:val="center"/>
            <w:hideMark/>
          </w:tcPr>
          <w:p w14:paraId="01FC1C3C" w14:textId="77777777" w:rsidR="00783731" w:rsidRPr="00441EAC" w:rsidRDefault="00783731">
            <w:pPr>
              <w:ind w:firstLineChars="100" w:firstLine="200"/>
              <w:rPr>
                <w:color w:val="000000"/>
                <w:sz w:val="20"/>
                <w:szCs w:val="20"/>
              </w:rPr>
            </w:pPr>
            <w:r w:rsidRPr="00441EAC">
              <w:rPr>
                <w:color w:val="000000"/>
                <w:sz w:val="20"/>
                <w:szCs w:val="20"/>
              </w:rPr>
              <w:t>Amortization</w:t>
            </w:r>
          </w:p>
        </w:tc>
        <w:tc>
          <w:tcPr>
            <w:tcW w:w="1294" w:type="dxa"/>
            <w:tcBorders>
              <w:top w:val="nil"/>
              <w:left w:val="nil"/>
              <w:bottom w:val="single" w:sz="4" w:space="0" w:color="auto"/>
              <w:right w:val="nil"/>
            </w:tcBorders>
            <w:shd w:val="clear" w:color="auto" w:fill="auto"/>
            <w:vAlign w:val="center"/>
            <w:hideMark/>
          </w:tcPr>
          <w:p w14:paraId="3FD3E883" w14:textId="77777777" w:rsidR="00783731" w:rsidRPr="00441EAC" w:rsidRDefault="00783731">
            <w:pPr>
              <w:jc w:val="right"/>
              <w:rPr>
                <w:color w:val="000000"/>
                <w:sz w:val="20"/>
                <w:szCs w:val="20"/>
              </w:rPr>
            </w:pPr>
            <w:r w:rsidRPr="00441EAC">
              <w:rPr>
                <w:color w:val="000000"/>
                <w:sz w:val="20"/>
                <w:szCs w:val="20"/>
              </w:rPr>
              <w:t xml:space="preserve">- </w:t>
            </w:r>
          </w:p>
        </w:tc>
        <w:tc>
          <w:tcPr>
            <w:tcW w:w="1095" w:type="dxa"/>
            <w:tcBorders>
              <w:top w:val="nil"/>
              <w:left w:val="nil"/>
              <w:bottom w:val="single" w:sz="4" w:space="0" w:color="auto"/>
              <w:right w:val="nil"/>
            </w:tcBorders>
            <w:shd w:val="clear" w:color="auto" w:fill="auto"/>
            <w:vAlign w:val="center"/>
            <w:hideMark/>
          </w:tcPr>
          <w:p w14:paraId="3F8BC4B5" w14:textId="77777777" w:rsidR="00783731" w:rsidRPr="00441EAC" w:rsidRDefault="00783731">
            <w:pPr>
              <w:jc w:val="right"/>
              <w:rPr>
                <w:color w:val="000000"/>
                <w:sz w:val="20"/>
                <w:szCs w:val="20"/>
              </w:rPr>
            </w:pPr>
            <w:r w:rsidRPr="00441EAC">
              <w:rPr>
                <w:color w:val="000000"/>
                <w:sz w:val="20"/>
                <w:szCs w:val="20"/>
              </w:rPr>
              <w:t xml:space="preserve">179,101 </w:t>
            </w:r>
          </w:p>
        </w:tc>
        <w:tc>
          <w:tcPr>
            <w:tcW w:w="1104" w:type="dxa"/>
            <w:tcBorders>
              <w:top w:val="nil"/>
              <w:left w:val="nil"/>
              <w:bottom w:val="single" w:sz="4" w:space="0" w:color="auto"/>
              <w:right w:val="nil"/>
            </w:tcBorders>
            <w:shd w:val="clear" w:color="auto" w:fill="auto"/>
            <w:vAlign w:val="center"/>
            <w:hideMark/>
          </w:tcPr>
          <w:p w14:paraId="7006196F" w14:textId="77777777" w:rsidR="00783731" w:rsidRPr="00441EAC" w:rsidRDefault="00783731">
            <w:pPr>
              <w:jc w:val="right"/>
              <w:rPr>
                <w:color w:val="000000"/>
                <w:sz w:val="20"/>
                <w:szCs w:val="20"/>
              </w:rPr>
            </w:pPr>
            <w:r w:rsidRPr="00441EAC">
              <w:rPr>
                <w:color w:val="000000"/>
                <w:sz w:val="20"/>
                <w:szCs w:val="20"/>
              </w:rPr>
              <w:t xml:space="preserve">4,123 </w:t>
            </w:r>
          </w:p>
        </w:tc>
        <w:tc>
          <w:tcPr>
            <w:tcW w:w="1094" w:type="dxa"/>
            <w:tcBorders>
              <w:top w:val="nil"/>
              <w:left w:val="nil"/>
              <w:bottom w:val="single" w:sz="4" w:space="0" w:color="auto"/>
              <w:right w:val="nil"/>
            </w:tcBorders>
            <w:shd w:val="clear" w:color="auto" w:fill="auto"/>
            <w:vAlign w:val="center"/>
            <w:hideMark/>
          </w:tcPr>
          <w:p w14:paraId="350AB4AE" w14:textId="77777777" w:rsidR="00783731" w:rsidRPr="00441EAC" w:rsidRDefault="00783731">
            <w:pPr>
              <w:jc w:val="right"/>
              <w:rPr>
                <w:color w:val="000000"/>
                <w:sz w:val="20"/>
                <w:szCs w:val="20"/>
              </w:rPr>
            </w:pPr>
            <w:r w:rsidRPr="00441EAC">
              <w:rPr>
                <w:color w:val="000000"/>
                <w:sz w:val="20"/>
                <w:szCs w:val="20"/>
              </w:rPr>
              <w:t xml:space="preserve">3,626 </w:t>
            </w:r>
          </w:p>
        </w:tc>
        <w:tc>
          <w:tcPr>
            <w:tcW w:w="1280" w:type="dxa"/>
            <w:tcBorders>
              <w:top w:val="nil"/>
              <w:left w:val="nil"/>
              <w:bottom w:val="single" w:sz="4" w:space="0" w:color="auto"/>
              <w:right w:val="nil"/>
            </w:tcBorders>
            <w:shd w:val="clear" w:color="auto" w:fill="auto"/>
            <w:vAlign w:val="center"/>
            <w:hideMark/>
          </w:tcPr>
          <w:p w14:paraId="76C24CB3" w14:textId="77777777" w:rsidR="00783731" w:rsidRPr="00441EAC" w:rsidRDefault="00783731">
            <w:pPr>
              <w:jc w:val="right"/>
              <w:rPr>
                <w:color w:val="000000"/>
                <w:sz w:val="20"/>
                <w:szCs w:val="20"/>
              </w:rPr>
            </w:pPr>
            <w:r w:rsidRPr="00441EAC">
              <w:rPr>
                <w:color w:val="000000"/>
                <w:sz w:val="20"/>
                <w:szCs w:val="20"/>
              </w:rPr>
              <w:t xml:space="preserve">186,850 </w:t>
            </w:r>
          </w:p>
        </w:tc>
      </w:tr>
      <w:tr w:rsidR="00783731" w:rsidRPr="00441EAC" w14:paraId="4E1E8532" w14:textId="77777777" w:rsidTr="00866470">
        <w:trPr>
          <w:trHeight w:val="288"/>
        </w:trPr>
        <w:tc>
          <w:tcPr>
            <w:tcW w:w="3033" w:type="dxa"/>
            <w:tcBorders>
              <w:top w:val="nil"/>
              <w:left w:val="nil"/>
              <w:bottom w:val="nil"/>
              <w:right w:val="nil"/>
            </w:tcBorders>
            <w:shd w:val="clear" w:color="auto" w:fill="auto"/>
            <w:vAlign w:val="center"/>
            <w:hideMark/>
          </w:tcPr>
          <w:p w14:paraId="47FBCB6C" w14:textId="77777777" w:rsidR="00783731" w:rsidRPr="00441EAC" w:rsidRDefault="00783731">
            <w:pPr>
              <w:jc w:val="right"/>
              <w:rPr>
                <w:color w:val="000000"/>
                <w:sz w:val="20"/>
                <w:szCs w:val="20"/>
              </w:rPr>
            </w:pPr>
          </w:p>
        </w:tc>
        <w:tc>
          <w:tcPr>
            <w:tcW w:w="1294" w:type="dxa"/>
            <w:tcBorders>
              <w:top w:val="nil"/>
              <w:left w:val="nil"/>
              <w:bottom w:val="nil"/>
              <w:right w:val="nil"/>
            </w:tcBorders>
            <w:shd w:val="clear" w:color="auto" w:fill="auto"/>
            <w:vAlign w:val="center"/>
            <w:hideMark/>
          </w:tcPr>
          <w:p w14:paraId="21B7CD19" w14:textId="77777777" w:rsidR="00783731" w:rsidRPr="00441EAC" w:rsidRDefault="00783731">
            <w:pPr>
              <w:ind w:firstLineChars="100" w:firstLine="200"/>
              <w:rPr>
                <w:sz w:val="20"/>
                <w:szCs w:val="20"/>
              </w:rPr>
            </w:pPr>
          </w:p>
        </w:tc>
        <w:tc>
          <w:tcPr>
            <w:tcW w:w="1095" w:type="dxa"/>
            <w:tcBorders>
              <w:top w:val="nil"/>
              <w:left w:val="nil"/>
              <w:bottom w:val="nil"/>
              <w:right w:val="nil"/>
            </w:tcBorders>
            <w:shd w:val="clear" w:color="auto" w:fill="auto"/>
            <w:vAlign w:val="center"/>
            <w:hideMark/>
          </w:tcPr>
          <w:p w14:paraId="2343E9E9" w14:textId="77777777" w:rsidR="00783731" w:rsidRPr="00441EAC" w:rsidRDefault="00783731">
            <w:pPr>
              <w:rPr>
                <w:sz w:val="20"/>
                <w:szCs w:val="20"/>
              </w:rPr>
            </w:pPr>
          </w:p>
        </w:tc>
        <w:tc>
          <w:tcPr>
            <w:tcW w:w="1104" w:type="dxa"/>
            <w:tcBorders>
              <w:top w:val="nil"/>
              <w:left w:val="nil"/>
              <w:bottom w:val="nil"/>
              <w:right w:val="nil"/>
            </w:tcBorders>
            <w:shd w:val="clear" w:color="auto" w:fill="auto"/>
            <w:vAlign w:val="center"/>
            <w:hideMark/>
          </w:tcPr>
          <w:p w14:paraId="7F716176" w14:textId="77777777" w:rsidR="00783731" w:rsidRPr="00441EAC" w:rsidRDefault="00783731">
            <w:pPr>
              <w:rPr>
                <w:sz w:val="20"/>
                <w:szCs w:val="20"/>
              </w:rPr>
            </w:pPr>
          </w:p>
        </w:tc>
        <w:tc>
          <w:tcPr>
            <w:tcW w:w="1094" w:type="dxa"/>
            <w:tcBorders>
              <w:top w:val="nil"/>
              <w:left w:val="nil"/>
              <w:bottom w:val="nil"/>
              <w:right w:val="nil"/>
            </w:tcBorders>
            <w:shd w:val="clear" w:color="auto" w:fill="auto"/>
            <w:vAlign w:val="center"/>
            <w:hideMark/>
          </w:tcPr>
          <w:p w14:paraId="3BB4F98F" w14:textId="77777777" w:rsidR="00783731" w:rsidRPr="00441EAC" w:rsidRDefault="00783731">
            <w:pPr>
              <w:rPr>
                <w:sz w:val="20"/>
                <w:szCs w:val="20"/>
              </w:rPr>
            </w:pPr>
          </w:p>
        </w:tc>
        <w:tc>
          <w:tcPr>
            <w:tcW w:w="1280" w:type="dxa"/>
            <w:tcBorders>
              <w:top w:val="nil"/>
              <w:left w:val="nil"/>
              <w:bottom w:val="nil"/>
              <w:right w:val="nil"/>
            </w:tcBorders>
            <w:shd w:val="clear" w:color="auto" w:fill="auto"/>
            <w:vAlign w:val="center"/>
            <w:hideMark/>
          </w:tcPr>
          <w:p w14:paraId="28D6A902" w14:textId="77777777" w:rsidR="00783731" w:rsidRPr="00441EAC" w:rsidRDefault="00783731">
            <w:pPr>
              <w:rPr>
                <w:sz w:val="20"/>
                <w:szCs w:val="20"/>
              </w:rPr>
            </w:pPr>
          </w:p>
        </w:tc>
      </w:tr>
      <w:tr w:rsidR="00783731" w:rsidRPr="0007463E" w14:paraId="215BC89F" w14:textId="77777777" w:rsidTr="00441EAC">
        <w:trPr>
          <w:trHeight w:val="288"/>
        </w:trPr>
        <w:tc>
          <w:tcPr>
            <w:tcW w:w="3033" w:type="dxa"/>
            <w:tcBorders>
              <w:top w:val="nil"/>
              <w:left w:val="nil"/>
              <w:right w:val="nil"/>
            </w:tcBorders>
            <w:shd w:val="clear" w:color="auto" w:fill="auto"/>
            <w:vAlign w:val="center"/>
            <w:hideMark/>
          </w:tcPr>
          <w:p w14:paraId="03E8B658" w14:textId="77777777" w:rsidR="00783731" w:rsidRPr="00441EAC" w:rsidRDefault="00783731">
            <w:pPr>
              <w:rPr>
                <w:color w:val="000000"/>
                <w:sz w:val="20"/>
                <w:szCs w:val="20"/>
              </w:rPr>
            </w:pPr>
            <w:r w:rsidRPr="00441EAC">
              <w:rPr>
                <w:color w:val="000000"/>
                <w:sz w:val="20"/>
                <w:szCs w:val="20"/>
              </w:rPr>
              <w:t>December 31, 2020</w:t>
            </w:r>
          </w:p>
        </w:tc>
        <w:tc>
          <w:tcPr>
            <w:tcW w:w="1294" w:type="dxa"/>
            <w:tcBorders>
              <w:top w:val="nil"/>
              <w:left w:val="nil"/>
              <w:right w:val="nil"/>
            </w:tcBorders>
            <w:shd w:val="clear" w:color="auto" w:fill="auto"/>
            <w:vAlign w:val="center"/>
            <w:hideMark/>
          </w:tcPr>
          <w:p w14:paraId="11A80605" w14:textId="77777777" w:rsidR="00783731" w:rsidRPr="00441EAC" w:rsidRDefault="00783731">
            <w:pPr>
              <w:jc w:val="right"/>
              <w:rPr>
                <w:color w:val="000000"/>
                <w:sz w:val="20"/>
                <w:szCs w:val="20"/>
              </w:rPr>
            </w:pPr>
            <w:r w:rsidRPr="00441EAC">
              <w:rPr>
                <w:color w:val="000000"/>
                <w:sz w:val="20"/>
                <w:szCs w:val="20"/>
              </w:rPr>
              <w:t xml:space="preserve">5,404 </w:t>
            </w:r>
          </w:p>
        </w:tc>
        <w:tc>
          <w:tcPr>
            <w:tcW w:w="1095" w:type="dxa"/>
            <w:tcBorders>
              <w:top w:val="nil"/>
              <w:left w:val="nil"/>
              <w:right w:val="nil"/>
            </w:tcBorders>
            <w:shd w:val="clear" w:color="auto" w:fill="auto"/>
            <w:vAlign w:val="center"/>
            <w:hideMark/>
          </w:tcPr>
          <w:p w14:paraId="75FB9C32" w14:textId="77777777" w:rsidR="00783731" w:rsidRPr="00441EAC" w:rsidRDefault="00783731">
            <w:pPr>
              <w:jc w:val="right"/>
              <w:rPr>
                <w:color w:val="000000"/>
                <w:sz w:val="20"/>
                <w:szCs w:val="20"/>
              </w:rPr>
            </w:pPr>
            <w:r w:rsidRPr="00441EAC">
              <w:rPr>
                <w:color w:val="000000"/>
                <w:sz w:val="20"/>
                <w:szCs w:val="20"/>
              </w:rPr>
              <w:t xml:space="preserve">241,765 </w:t>
            </w:r>
          </w:p>
        </w:tc>
        <w:tc>
          <w:tcPr>
            <w:tcW w:w="1104" w:type="dxa"/>
            <w:tcBorders>
              <w:top w:val="nil"/>
              <w:left w:val="nil"/>
              <w:right w:val="nil"/>
            </w:tcBorders>
            <w:shd w:val="clear" w:color="auto" w:fill="auto"/>
            <w:vAlign w:val="center"/>
            <w:hideMark/>
          </w:tcPr>
          <w:p w14:paraId="50A414B6" w14:textId="77777777" w:rsidR="00783731" w:rsidRPr="00441EAC" w:rsidRDefault="00783731">
            <w:pPr>
              <w:jc w:val="right"/>
              <w:rPr>
                <w:color w:val="000000"/>
                <w:sz w:val="20"/>
                <w:szCs w:val="20"/>
              </w:rPr>
            </w:pPr>
            <w:r w:rsidRPr="00441EAC">
              <w:rPr>
                <w:color w:val="000000"/>
                <w:sz w:val="20"/>
                <w:szCs w:val="20"/>
              </w:rPr>
              <w:t xml:space="preserve">16,800 </w:t>
            </w:r>
          </w:p>
        </w:tc>
        <w:tc>
          <w:tcPr>
            <w:tcW w:w="1094" w:type="dxa"/>
            <w:tcBorders>
              <w:top w:val="nil"/>
              <w:left w:val="nil"/>
              <w:right w:val="nil"/>
            </w:tcBorders>
            <w:shd w:val="clear" w:color="auto" w:fill="auto"/>
            <w:vAlign w:val="center"/>
            <w:hideMark/>
          </w:tcPr>
          <w:p w14:paraId="41BB6F58" w14:textId="77777777" w:rsidR="00783731" w:rsidRPr="00441EAC" w:rsidRDefault="00783731">
            <w:pPr>
              <w:jc w:val="right"/>
              <w:rPr>
                <w:color w:val="000000"/>
                <w:sz w:val="20"/>
                <w:szCs w:val="20"/>
              </w:rPr>
            </w:pPr>
            <w:r w:rsidRPr="00441EAC">
              <w:rPr>
                <w:color w:val="000000"/>
                <w:sz w:val="20"/>
                <w:szCs w:val="20"/>
              </w:rPr>
              <w:t xml:space="preserve">19,084 </w:t>
            </w:r>
          </w:p>
        </w:tc>
        <w:tc>
          <w:tcPr>
            <w:tcW w:w="1280" w:type="dxa"/>
            <w:tcBorders>
              <w:top w:val="nil"/>
              <w:left w:val="nil"/>
              <w:right w:val="nil"/>
            </w:tcBorders>
            <w:shd w:val="clear" w:color="auto" w:fill="auto"/>
            <w:vAlign w:val="center"/>
            <w:hideMark/>
          </w:tcPr>
          <w:p w14:paraId="4EAB6C05" w14:textId="77777777" w:rsidR="00783731" w:rsidRPr="00441EAC" w:rsidRDefault="00783731">
            <w:pPr>
              <w:jc w:val="right"/>
              <w:rPr>
                <w:color w:val="000000"/>
                <w:sz w:val="20"/>
                <w:szCs w:val="20"/>
              </w:rPr>
            </w:pPr>
            <w:r w:rsidRPr="00441EAC">
              <w:rPr>
                <w:color w:val="000000"/>
                <w:sz w:val="20"/>
                <w:szCs w:val="20"/>
              </w:rPr>
              <w:t xml:space="preserve">283,053 </w:t>
            </w:r>
          </w:p>
        </w:tc>
      </w:tr>
      <w:tr w:rsidR="00783731" w:rsidRPr="00441EAC" w14:paraId="13066D76" w14:textId="77777777" w:rsidTr="00441EAC">
        <w:trPr>
          <w:trHeight w:val="288"/>
        </w:trPr>
        <w:tc>
          <w:tcPr>
            <w:tcW w:w="3033" w:type="dxa"/>
            <w:tcBorders>
              <w:top w:val="nil"/>
              <w:left w:val="nil"/>
              <w:right w:val="nil"/>
            </w:tcBorders>
            <w:shd w:val="clear" w:color="auto" w:fill="auto"/>
            <w:vAlign w:val="center"/>
            <w:hideMark/>
          </w:tcPr>
          <w:p w14:paraId="592C3634" w14:textId="77777777" w:rsidR="00783731" w:rsidRPr="00441EAC" w:rsidRDefault="00783731">
            <w:pPr>
              <w:ind w:firstLineChars="100" w:firstLine="200"/>
              <w:rPr>
                <w:color w:val="000000"/>
                <w:sz w:val="20"/>
                <w:szCs w:val="20"/>
              </w:rPr>
            </w:pPr>
            <w:r w:rsidRPr="00441EAC">
              <w:rPr>
                <w:color w:val="000000"/>
                <w:sz w:val="20"/>
                <w:szCs w:val="20"/>
              </w:rPr>
              <w:t>Amortization</w:t>
            </w:r>
          </w:p>
        </w:tc>
        <w:tc>
          <w:tcPr>
            <w:tcW w:w="1294" w:type="dxa"/>
            <w:tcBorders>
              <w:top w:val="nil"/>
              <w:left w:val="nil"/>
              <w:right w:val="nil"/>
            </w:tcBorders>
            <w:shd w:val="clear" w:color="auto" w:fill="auto"/>
            <w:vAlign w:val="center"/>
            <w:hideMark/>
          </w:tcPr>
          <w:p w14:paraId="10285CCF" w14:textId="77777777" w:rsidR="00783731" w:rsidRPr="00441EAC" w:rsidRDefault="00783731">
            <w:pPr>
              <w:jc w:val="right"/>
              <w:rPr>
                <w:color w:val="000000"/>
                <w:sz w:val="20"/>
                <w:szCs w:val="20"/>
              </w:rPr>
            </w:pPr>
            <w:r w:rsidRPr="00441EAC">
              <w:rPr>
                <w:color w:val="000000"/>
                <w:sz w:val="20"/>
                <w:szCs w:val="20"/>
              </w:rPr>
              <w:t xml:space="preserve">- </w:t>
            </w:r>
          </w:p>
        </w:tc>
        <w:tc>
          <w:tcPr>
            <w:tcW w:w="1095" w:type="dxa"/>
            <w:tcBorders>
              <w:top w:val="nil"/>
              <w:left w:val="nil"/>
              <w:right w:val="nil"/>
            </w:tcBorders>
            <w:shd w:val="clear" w:color="auto" w:fill="auto"/>
            <w:vAlign w:val="center"/>
            <w:hideMark/>
          </w:tcPr>
          <w:p w14:paraId="777D2499" w14:textId="6347D044" w:rsidR="00783731" w:rsidRPr="00441EAC" w:rsidRDefault="00441EAC">
            <w:pPr>
              <w:jc w:val="right"/>
              <w:rPr>
                <w:color w:val="000000"/>
                <w:sz w:val="20"/>
                <w:szCs w:val="20"/>
              </w:rPr>
            </w:pPr>
            <w:r w:rsidRPr="00441EAC">
              <w:rPr>
                <w:color w:val="000000"/>
                <w:sz w:val="20"/>
                <w:szCs w:val="20"/>
              </w:rPr>
              <w:t>54,089</w:t>
            </w:r>
            <w:r w:rsidR="00783731" w:rsidRPr="00441EAC">
              <w:rPr>
                <w:color w:val="000000"/>
                <w:sz w:val="20"/>
                <w:szCs w:val="20"/>
              </w:rPr>
              <w:t xml:space="preserve"> </w:t>
            </w:r>
          </w:p>
        </w:tc>
        <w:tc>
          <w:tcPr>
            <w:tcW w:w="1104" w:type="dxa"/>
            <w:tcBorders>
              <w:top w:val="nil"/>
              <w:left w:val="nil"/>
              <w:right w:val="nil"/>
            </w:tcBorders>
            <w:shd w:val="clear" w:color="auto" w:fill="auto"/>
            <w:vAlign w:val="center"/>
            <w:hideMark/>
          </w:tcPr>
          <w:p w14:paraId="16F1F2A7" w14:textId="462C8001" w:rsidR="00783731" w:rsidRPr="00441EAC" w:rsidRDefault="00441EAC">
            <w:pPr>
              <w:jc w:val="right"/>
              <w:rPr>
                <w:color w:val="000000"/>
                <w:sz w:val="20"/>
                <w:szCs w:val="20"/>
              </w:rPr>
            </w:pPr>
            <w:r w:rsidRPr="00441EAC">
              <w:rPr>
                <w:color w:val="000000"/>
                <w:sz w:val="20"/>
                <w:szCs w:val="20"/>
              </w:rPr>
              <w:t>1,856</w:t>
            </w:r>
            <w:r w:rsidR="00783731" w:rsidRPr="00441EAC">
              <w:rPr>
                <w:color w:val="000000"/>
                <w:sz w:val="20"/>
                <w:szCs w:val="20"/>
              </w:rPr>
              <w:t xml:space="preserve"> </w:t>
            </w:r>
          </w:p>
        </w:tc>
        <w:tc>
          <w:tcPr>
            <w:tcW w:w="1094" w:type="dxa"/>
            <w:tcBorders>
              <w:top w:val="nil"/>
              <w:left w:val="nil"/>
              <w:right w:val="nil"/>
            </w:tcBorders>
            <w:shd w:val="clear" w:color="auto" w:fill="auto"/>
            <w:vAlign w:val="center"/>
            <w:hideMark/>
          </w:tcPr>
          <w:p w14:paraId="5AF6A7E4" w14:textId="47638661" w:rsidR="00783731" w:rsidRPr="00441EAC" w:rsidRDefault="00441EAC">
            <w:pPr>
              <w:jc w:val="right"/>
              <w:rPr>
                <w:color w:val="000000"/>
                <w:sz w:val="20"/>
                <w:szCs w:val="20"/>
              </w:rPr>
            </w:pPr>
            <w:r w:rsidRPr="00441EAC">
              <w:rPr>
                <w:color w:val="000000"/>
                <w:sz w:val="20"/>
                <w:szCs w:val="20"/>
              </w:rPr>
              <w:t>816</w:t>
            </w:r>
            <w:r w:rsidR="00783731" w:rsidRPr="00441EAC">
              <w:rPr>
                <w:color w:val="000000"/>
                <w:sz w:val="20"/>
                <w:szCs w:val="20"/>
              </w:rPr>
              <w:t xml:space="preserve"> </w:t>
            </w:r>
          </w:p>
        </w:tc>
        <w:tc>
          <w:tcPr>
            <w:tcW w:w="1280" w:type="dxa"/>
            <w:tcBorders>
              <w:top w:val="nil"/>
              <w:left w:val="nil"/>
              <w:right w:val="nil"/>
            </w:tcBorders>
            <w:shd w:val="clear" w:color="auto" w:fill="auto"/>
            <w:vAlign w:val="center"/>
            <w:hideMark/>
          </w:tcPr>
          <w:p w14:paraId="4393AAA6" w14:textId="0F5B799E" w:rsidR="00783731" w:rsidRPr="00441EAC" w:rsidRDefault="00441EAC">
            <w:pPr>
              <w:jc w:val="right"/>
              <w:rPr>
                <w:color w:val="000000"/>
                <w:sz w:val="20"/>
                <w:szCs w:val="20"/>
              </w:rPr>
            </w:pPr>
            <w:r w:rsidRPr="00441EAC">
              <w:rPr>
                <w:color w:val="000000"/>
                <w:sz w:val="20"/>
                <w:szCs w:val="20"/>
              </w:rPr>
              <w:t>56,761</w:t>
            </w:r>
            <w:r w:rsidR="00783731" w:rsidRPr="00441EAC">
              <w:rPr>
                <w:color w:val="000000"/>
                <w:sz w:val="20"/>
                <w:szCs w:val="20"/>
              </w:rPr>
              <w:t xml:space="preserve"> </w:t>
            </w:r>
          </w:p>
        </w:tc>
      </w:tr>
      <w:tr w:rsidR="00441EAC" w:rsidRPr="0007463E" w14:paraId="11F9142E" w14:textId="77777777" w:rsidTr="00441EAC">
        <w:trPr>
          <w:trHeight w:val="288"/>
        </w:trPr>
        <w:tc>
          <w:tcPr>
            <w:tcW w:w="3033" w:type="dxa"/>
            <w:tcBorders>
              <w:left w:val="nil"/>
              <w:bottom w:val="single" w:sz="4" w:space="0" w:color="auto"/>
              <w:right w:val="nil"/>
            </w:tcBorders>
            <w:shd w:val="clear" w:color="auto" w:fill="auto"/>
            <w:vAlign w:val="center"/>
            <w:hideMark/>
          </w:tcPr>
          <w:p w14:paraId="35E51EF4" w14:textId="3DB0C336" w:rsidR="00441EAC" w:rsidRPr="00441EAC" w:rsidRDefault="00441EAC" w:rsidP="00441EAC">
            <w:pPr>
              <w:ind w:firstLineChars="100" w:firstLine="200"/>
              <w:rPr>
                <w:color w:val="000000"/>
                <w:sz w:val="20"/>
                <w:szCs w:val="20"/>
              </w:rPr>
            </w:pPr>
            <w:r w:rsidRPr="00441EAC">
              <w:rPr>
                <w:color w:val="000000"/>
                <w:sz w:val="20"/>
                <w:szCs w:val="20"/>
              </w:rPr>
              <w:t>Disposals</w:t>
            </w:r>
          </w:p>
        </w:tc>
        <w:tc>
          <w:tcPr>
            <w:tcW w:w="1294" w:type="dxa"/>
            <w:tcBorders>
              <w:left w:val="nil"/>
              <w:bottom w:val="single" w:sz="4" w:space="0" w:color="auto"/>
              <w:right w:val="nil"/>
            </w:tcBorders>
            <w:shd w:val="clear" w:color="auto" w:fill="auto"/>
            <w:vAlign w:val="center"/>
            <w:hideMark/>
          </w:tcPr>
          <w:p w14:paraId="31E14039" w14:textId="77777777" w:rsidR="00441EAC" w:rsidRPr="00441EAC" w:rsidRDefault="00441EAC" w:rsidP="00441EAC">
            <w:pPr>
              <w:jc w:val="right"/>
              <w:rPr>
                <w:color w:val="000000"/>
                <w:sz w:val="20"/>
                <w:szCs w:val="20"/>
              </w:rPr>
            </w:pPr>
            <w:r w:rsidRPr="00441EAC">
              <w:rPr>
                <w:color w:val="000000"/>
                <w:sz w:val="20"/>
                <w:szCs w:val="20"/>
              </w:rPr>
              <w:t xml:space="preserve">- </w:t>
            </w:r>
          </w:p>
        </w:tc>
        <w:tc>
          <w:tcPr>
            <w:tcW w:w="1095" w:type="dxa"/>
            <w:tcBorders>
              <w:left w:val="nil"/>
              <w:bottom w:val="single" w:sz="4" w:space="0" w:color="auto"/>
              <w:right w:val="nil"/>
            </w:tcBorders>
            <w:shd w:val="clear" w:color="auto" w:fill="auto"/>
            <w:vAlign w:val="center"/>
            <w:hideMark/>
          </w:tcPr>
          <w:p w14:paraId="29698C6C" w14:textId="0A27CCE3" w:rsidR="00441EAC" w:rsidRPr="00441EAC" w:rsidRDefault="00441EAC" w:rsidP="00441EAC">
            <w:pPr>
              <w:jc w:val="right"/>
              <w:rPr>
                <w:color w:val="000000"/>
                <w:sz w:val="20"/>
                <w:szCs w:val="20"/>
              </w:rPr>
            </w:pPr>
            <w:r w:rsidRPr="00441EAC">
              <w:rPr>
                <w:color w:val="000000"/>
                <w:sz w:val="20"/>
                <w:szCs w:val="20"/>
              </w:rPr>
              <w:t xml:space="preserve">(269,186) </w:t>
            </w:r>
          </w:p>
        </w:tc>
        <w:tc>
          <w:tcPr>
            <w:tcW w:w="1104" w:type="dxa"/>
            <w:tcBorders>
              <w:left w:val="nil"/>
              <w:bottom w:val="single" w:sz="4" w:space="0" w:color="auto"/>
              <w:right w:val="nil"/>
            </w:tcBorders>
            <w:shd w:val="clear" w:color="auto" w:fill="auto"/>
            <w:vAlign w:val="center"/>
            <w:hideMark/>
          </w:tcPr>
          <w:p w14:paraId="513CCA2C" w14:textId="299035D3" w:rsidR="00441EAC" w:rsidRPr="00441EAC" w:rsidRDefault="00441EAC" w:rsidP="00441EAC">
            <w:pPr>
              <w:jc w:val="right"/>
              <w:rPr>
                <w:color w:val="000000"/>
                <w:sz w:val="20"/>
                <w:szCs w:val="20"/>
              </w:rPr>
            </w:pPr>
            <w:r w:rsidRPr="00441EAC">
              <w:rPr>
                <w:color w:val="000000"/>
                <w:sz w:val="20"/>
                <w:szCs w:val="20"/>
              </w:rPr>
              <w:t xml:space="preserve">- </w:t>
            </w:r>
          </w:p>
        </w:tc>
        <w:tc>
          <w:tcPr>
            <w:tcW w:w="1094" w:type="dxa"/>
            <w:tcBorders>
              <w:left w:val="nil"/>
              <w:bottom w:val="single" w:sz="4" w:space="0" w:color="auto"/>
              <w:right w:val="nil"/>
            </w:tcBorders>
            <w:shd w:val="clear" w:color="auto" w:fill="auto"/>
            <w:vAlign w:val="center"/>
            <w:hideMark/>
          </w:tcPr>
          <w:p w14:paraId="2424EA01" w14:textId="3652A0E4" w:rsidR="00441EAC" w:rsidRPr="00441EAC" w:rsidRDefault="00441EAC" w:rsidP="00441EAC">
            <w:pPr>
              <w:jc w:val="right"/>
              <w:rPr>
                <w:color w:val="000000"/>
                <w:sz w:val="20"/>
                <w:szCs w:val="20"/>
              </w:rPr>
            </w:pPr>
            <w:r w:rsidRPr="00441EAC">
              <w:rPr>
                <w:color w:val="000000"/>
                <w:sz w:val="20"/>
                <w:szCs w:val="20"/>
              </w:rPr>
              <w:t xml:space="preserve">- </w:t>
            </w:r>
          </w:p>
        </w:tc>
        <w:tc>
          <w:tcPr>
            <w:tcW w:w="1280" w:type="dxa"/>
            <w:tcBorders>
              <w:left w:val="nil"/>
              <w:bottom w:val="single" w:sz="4" w:space="0" w:color="auto"/>
              <w:right w:val="nil"/>
            </w:tcBorders>
            <w:shd w:val="clear" w:color="auto" w:fill="auto"/>
            <w:vAlign w:val="center"/>
            <w:hideMark/>
          </w:tcPr>
          <w:p w14:paraId="3731F10B" w14:textId="437EFC69" w:rsidR="00441EAC" w:rsidRPr="00441EAC" w:rsidRDefault="00441EAC" w:rsidP="00441EAC">
            <w:pPr>
              <w:jc w:val="right"/>
              <w:rPr>
                <w:color w:val="000000"/>
                <w:sz w:val="20"/>
                <w:szCs w:val="20"/>
              </w:rPr>
            </w:pPr>
            <w:r w:rsidRPr="00441EAC">
              <w:rPr>
                <w:color w:val="000000"/>
                <w:sz w:val="20"/>
                <w:szCs w:val="20"/>
              </w:rPr>
              <w:t xml:space="preserve">(269,186) </w:t>
            </w:r>
          </w:p>
        </w:tc>
      </w:tr>
      <w:tr w:rsidR="00783731" w:rsidRPr="0007463E" w14:paraId="7B348A15" w14:textId="77777777" w:rsidTr="00866470">
        <w:trPr>
          <w:trHeight w:val="264"/>
        </w:trPr>
        <w:tc>
          <w:tcPr>
            <w:tcW w:w="3033" w:type="dxa"/>
            <w:tcBorders>
              <w:top w:val="nil"/>
              <w:left w:val="nil"/>
              <w:bottom w:val="nil"/>
              <w:right w:val="nil"/>
            </w:tcBorders>
            <w:shd w:val="clear" w:color="auto" w:fill="auto"/>
            <w:vAlign w:val="center"/>
            <w:hideMark/>
          </w:tcPr>
          <w:p w14:paraId="78A20275" w14:textId="77777777" w:rsidR="00783731" w:rsidRPr="0007463E" w:rsidRDefault="00783731">
            <w:pPr>
              <w:jc w:val="right"/>
              <w:rPr>
                <w:color w:val="000000"/>
                <w:sz w:val="20"/>
                <w:szCs w:val="20"/>
                <w:highlight w:val="yellow"/>
              </w:rPr>
            </w:pPr>
          </w:p>
        </w:tc>
        <w:tc>
          <w:tcPr>
            <w:tcW w:w="1294" w:type="dxa"/>
            <w:tcBorders>
              <w:top w:val="nil"/>
              <w:left w:val="nil"/>
              <w:bottom w:val="nil"/>
              <w:right w:val="nil"/>
            </w:tcBorders>
            <w:shd w:val="clear" w:color="auto" w:fill="auto"/>
            <w:vAlign w:val="center"/>
            <w:hideMark/>
          </w:tcPr>
          <w:p w14:paraId="7A45445A" w14:textId="77777777" w:rsidR="00783731" w:rsidRPr="0007463E" w:rsidRDefault="00783731">
            <w:pPr>
              <w:ind w:firstLineChars="100" w:firstLine="200"/>
              <w:rPr>
                <w:sz w:val="20"/>
                <w:szCs w:val="20"/>
                <w:highlight w:val="yellow"/>
              </w:rPr>
            </w:pPr>
          </w:p>
        </w:tc>
        <w:tc>
          <w:tcPr>
            <w:tcW w:w="1095" w:type="dxa"/>
            <w:tcBorders>
              <w:top w:val="nil"/>
              <w:left w:val="nil"/>
              <w:bottom w:val="nil"/>
              <w:right w:val="nil"/>
            </w:tcBorders>
            <w:shd w:val="clear" w:color="auto" w:fill="auto"/>
            <w:vAlign w:val="center"/>
            <w:hideMark/>
          </w:tcPr>
          <w:p w14:paraId="4E5C28A8" w14:textId="77777777" w:rsidR="00783731" w:rsidRPr="0007463E" w:rsidRDefault="00783731">
            <w:pPr>
              <w:rPr>
                <w:sz w:val="20"/>
                <w:szCs w:val="20"/>
                <w:highlight w:val="yellow"/>
              </w:rPr>
            </w:pPr>
          </w:p>
        </w:tc>
        <w:tc>
          <w:tcPr>
            <w:tcW w:w="1104" w:type="dxa"/>
            <w:tcBorders>
              <w:top w:val="nil"/>
              <w:left w:val="nil"/>
              <w:bottom w:val="nil"/>
              <w:right w:val="nil"/>
            </w:tcBorders>
            <w:shd w:val="clear" w:color="auto" w:fill="auto"/>
            <w:vAlign w:val="center"/>
            <w:hideMark/>
          </w:tcPr>
          <w:p w14:paraId="40908787" w14:textId="77777777" w:rsidR="00783731" w:rsidRPr="0007463E" w:rsidRDefault="00783731">
            <w:pPr>
              <w:rPr>
                <w:sz w:val="20"/>
                <w:szCs w:val="20"/>
                <w:highlight w:val="yellow"/>
              </w:rPr>
            </w:pPr>
          </w:p>
        </w:tc>
        <w:tc>
          <w:tcPr>
            <w:tcW w:w="1094" w:type="dxa"/>
            <w:tcBorders>
              <w:top w:val="nil"/>
              <w:left w:val="nil"/>
              <w:bottom w:val="nil"/>
              <w:right w:val="nil"/>
            </w:tcBorders>
            <w:shd w:val="clear" w:color="auto" w:fill="auto"/>
            <w:vAlign w:val="center"/>
            <w:hideMark/>
          </w:tcPr>
          <w:p w14:paraId="03AC1F5D" w14:textId="77777777" w:rsidR="00783731" w:rsidRPr="0007463E" w:rsidRDefault="00783731">
            <w:pPr>
              <w:rPr>
                <w:sz w:val="20"/>
                <w:szCs w:val="20"/>
                <w:highlight w:val="yellow"/>
              </w:rPr>
            </w:pPr>
          </w:p>
        </w:tc>
        <w:tc>
          <w:tcPr>
            <w:tcW w:w="1280" w:type="dxa"/>
            <w:tcBorders>
              <w:top w:val="nil"/>
              <w:left w:val="nil"/>
              <w:bottom w:val="nil"/>
              <w:right w:val="nil"/>
            </w:tcBorders>
            <w:shd w:val="clear" w:color="auto" w:fill="auto"/>
            <w:vAlign w:val="center"/>
            <w:hideMark/>
          </w:tcPr>
          <w:p w14:paraId="7D3BD3AD" w14:textId="77777777" w:rsidR="00783731" w:rsidRPr="0007463E" w:rsidRDefault="00783731">
            <w:pPr>
              <w:rPr>
                <w:sz w:val="20"/>
                <w:szCs w:val="20"/>
                <w:highlight w:val="yellow"/>
              </w:rPr>
            </w:pPr>
          </w:p>
        </w:tc>
      </w:tr>
      <w:tr w:rsidR="00441EAC" w:rsidRPr="0007463E" w14:paraId="09DB41FE" w14:textId="77777777" w:rsidTr="00866470">
        <w:trPr>
          <w:trHeight w:val="288"/>
        </w:trPr>
        <w:tc>
          <w:tcPr>
            <w:tcW w:w="3033" w:type="dxa"/>
            <w:tcBorders>
              <w:top w:val="nil"/>
              <w:left w:val="nil"/>
              <w:bottom w:val="single" w:sz="4" w:space="0" w:color="auto"/>
              <w:right w:val="nil"/>
            </w:tcBorders>
            <w:shd w:val="clear" w:color="auto" w:fill="auto"/>
            <w:vAlign w:val="center"/>
            <w:hideMark/>
          </w:tcPr>
          <w:p w14:paraId="29A239BF" w14:textId="22833DFB" w:rsidR="00441EAC" w:rsidRPr="00441EAC" w:rsidRDefault="00441EAC" w:rsidP="00441EAC">
            <w:pPr>
              <w:rPr>
                <w:color w:val="000000"/>
                <w:sz w:val="20"/>
                <w:szCs w:val="20"/>
              </w:rPr>
            </w:pPr>
            <w:r w:rsidRPr="00441EAC">
              <w:rPr>
                <w:color w:val="000000"/>
                <w:sz w:val="20"/>
                <w:szCs w:val="20"/>
              </w:rPr>
              <w:t>June 30, 2021</w:t>
            </w:r>
          </w:p>
        </w:tc>
        <w:tc>
          <w:tcPr>
            <w:tcW w:w="1294" w:type="dxa"/>
            <w:tcBorders>
              <w:top w:val="nil"/>
              <w:left w:val="nil"/>
              <w:bottom w:val="single" w:sz="4" w:space="0" w:color="auto"/>
              <w:right w:val="nil"/>
            </w:tcBorders>
            <w:shd w:val="clear" w:color="auto" w:fill="auto"/>
            <w:vAlign w:val="center"/>
            <w:hideMark/>
          </w:tcPr>
          <w:p w14:paraId="4F8E2070" w14:textId="77777777" w:rsidR="00441EAC" w:rsidRPr="00441EAC" w:rsidRDefault="00441EAC" w:rsidP="00441EAC">
            <w:pPr>
              <w:rPr>
                <w:color w:val="000000"/>
                <w:sz w:val="20"/>
                <w:szCs w:val="20"/>
              </w:rPr>
            </w:pPr>
            <w:r w:rsidRPr="00441EAC">
              <w:rPr>
                <w:color w:val="000000"/>
                <w:sz w:val="20"/>
                <w:szCs w:val="20"/>
              </w:rPr>
              <w:t xml:space="preserve"> $        5,404 </w:t>
            </w:r>
          </w:p>
        </w:tc>
        <w:tc>
          <w:tcPr>
            <w:tcW w:w="1095" w:type="dxa"/>
            <w:tcBorders>
              <w:top w:val="nil"/>
              <w:left w:val="nil"/>
              <w:bottom w:val="single" w:sz="4" w:space="0" w:color="auto"/>
              <w:right w:val="nil"/>
            </w:tcBorders>
            <w:shd w:val="clear" w:color="auto" w:fill="auto"/>
            <w:vAlign w:val="center"/>
            <w:hideMark/>
          </w:tcPr>
          <w:p w14:paraId="1A7F508A" w14:textId="6753A860" w:rsidR="00441EAC" w:rsidRPr="00441EAC" w:rsidRDefault="00441EAC" w:rsidP="00441EAC">
            <w:pPr>
              <w:rPr>
                <w:color w:val="000000"/>
                <w:sz w:val="20"/>
                <w:szCs w:val="20"/>
              </w:rPr>
            </w:pPr>
            <w:r w:rsidRPr="00441EAC">
              <w:rPr>
                <w:color w:val="000000"/>
                <w:sz w:val="20"/>
                <w:szCs w:val="20"/>
              </w:rPr>
              <w:t xml:space="preserve"> $   26,668 </w:t>
            </w:r>
          </w:p>
        </w:tc>
        <w:tc>
          <w:tcPr>
            <w:tcW w:w="1104" w:type="dxa"/>
            <w:tcBorders>
              <w:top w:val="nil"/>
              <w:left w:val="nil"/>
              <w:bottom w:val="single" w:sz="4" w:space="0" w:color="auto"/>
              <w:right w:val="nil"/>
            </w:tcBorders>
            <w:shd w:val="clear" w:color="auto" w:fill="auto"/>
            <w:vAlign w:val="center"/>
            <w:hideMark/>
          </w:tcPr>
          <w:p w14:paraId="21418E88" w14:textId="3BB8A96E" w:rsidR="00441EAC" w:rsidRPr="00441EAC" w:rsidRDefault="00441EAC" w:rsidP="00441EAC">
            <w:pPr>
              <w:rPr>
                <w:color w:val="000000"/>
                <w:sz w:val="20"/>
                <w:szCs w:val="20"/>
              </w:rPr>
            </w:pPr>
            <w:r w:rsidRPr="00441EAC">
              <w:rPr>
                <w:color w:val="000000"/>
                <w:sz w:val="20"/>
                <w:szCs w:val="20"/>
              </w:rPr>
              <w:t xml:space="preserve"> $   18,656 </w:t>
            </w:r>
          </w:p>
        </w:tc>
        <w:tc>
          <w:tcPr>
            <w:tcW w:w="1094" w:type="dxa"/>
            <w:tcBorders>
              <w:top w:val="nil"/>
              <w:left w:val="nil"/>
              <w:bottom w:val="single" w:sz="4" w:space="0" w:color="auto"/>
              <w:right w:val="nil"/>
            </w:tcBorders>
            <w:shd w:val="clear" w:color="auto" w:fill="auto"/>
            <w:vAlign w:val="center"/>
            <w:hideMark/>
          </w:tcPr>
          <w:p w14:paraId="6B05CD6C" w14:textId="3A2DB141" w:rsidR="00441EAC" w:rsidRPr="00441EAC" w:rsidRDefault="00441EAC" w:rsidP="00441EAC">
            <w:pPr>
              <w:rPr>
                <w:color w:val="000000"/>
                <w:sz w:val="20"/>
                <w:szCs w:val="20"/>
              </w:rPr>
            </w:pPr>
            <w:r w:rsidRPr="00441EAC">
              <w:rPr>
                <w:color w:val="000000"/>
                <w:sz w:val="20"/>
                <w:szCs w:val="20"/>
              </w:rPr>
              <w:t xml:space="preserve"> $  19,900 </w:t>
            </w:r>
          </w:p>
        </w:tc>
        <w:tc>
          <w:tcPr>
            <w:tcW w:w="1280" w:type="dxa"/>
            <w:tcBorders>
              <w:top w:val="nil"/>
              <w:left w:val="nil"/>
              <w:bottom w:val="single" w:sz="4" w:space="0" w:color="auto"/>
              <w:right w:val="nil"/>
            </w:tcBorders>
            <w:shd w:val="clear" w:color="auto" w:fill="auto"/>
            <w:vAlign w:val="center"/>
            <w:hideMark/>
          </w:tcPr>
          <w:p w14:paraId="58A69627" w14:textId="417B2883" w:rsidR="00441EAC" w:rsidRPr="00441EAC" w:rsidRDefault="00441EAC" w:rsidP="00441EAC">
            <w:pPr>
              <w:rPr>
                <w:color w:val="000000"/>
                <w:sz w:val="20"/>
                <w:szCs w:val="20"/>
              </w:rPr>
            </w:pPr>
            <w:r w:rsidRPr="00441EAC">
              <w:rPr>
                <w:color w:val="000000"/>
                <w:sz w:val="20"/>
                <w:szCs w:val="20"/>
              </w:rPr>
              <w:t xml:space="preserve"> $      70,628 </w:t>
            </w:r>
          </w:p>
        </w:tc>
      </w:tr>
      <w:tr w:rsidR="00783731" w:rsidRPr="0007463E" w14:paraId="7E6DD930" w14:textId="77777777" w:rsidTr="00866470">
        <w:trPr>
          <w:trHeight w:val="264"/>
        </w:trPr>
        <w:tc>
          <w:tcPr>
            <w:tcW w:w="3033" w:type="dxa"/>
            <w:tcBorders>
              <w:top w:val="nil"/>
              <w:left w:val="nil"/>
              <w:bottom w:val="nil"/>
              <w:right w:val="nil"/>
            </w:tcBorders>
            <w:shd w:val="clear" w:color="auto" w:fill="auto"/>
            <w:vAlign w:val="center"/>
            <w:hideMark/>
          </w:tcPr>
          <w:p w14:paraId="3B7F6F5C" w14:textId="77777777" w:rsidR="00783731" w:rsidRPr="0007463E" w:rsidRDefault="00783731">
            <w:pPr>
              <w:rPr>
                <w:color w:val="000000"/>
                <w:sz w:val="20"/>
                <w:szCs w:val="20"/>
                <w:highlight w:val="yellow"/>
              </w:rPr>
            </w:pPr>
          </w:p>
        </w:tc>
        <w:tc>
          <w:tcPr>
            <w:tcW w:w="1294" w:type="dxa"/>
            <w:tcBorders>
              <w:top w:val="nil"/>
              <w:left w:val="nil"/>
              <w:bottom w:val="nil"/>
              <w:right w:val="nil"/>
            </w:tcBorders>
            <w:shd w:val="clear" w:color="auto" w:fill="auto"/>
            <w:vAlign w:val="center"/>
            <w:hideMark/>
          </w:tcPr>
          <w:p w14:paraId="22DFFE35" w14:textId="77777777" w:rsidR="00783731" w:rsidRPr="0007463E" w:rsidRDefault="00783731">
            <w:pPr>
              <w:rPr>
                <w:sz w:val="20"/>
                <w:szCs w:val="20"/>
                <w:highlight w:val="yellow"/>
              </w:rPr>
            </w:pPr>
          </w:p>
        </w:tc>
        <w:tc>
          <w:tcPr>
            <w:tcW w:w="1095" w:type="dxa"/>
            <w:tcBorders>
              <w:top w:val="nil"/>
              <w:left w:val="nil"/>
              <w:bottom w:val="nil"/>
              <w:right w:val="nil"/>
            </w:tcBorders>
            <w:shd w:val="clear" w:color="auto" w:fill="auto"/>
            <w:vAlign w:val="center"/>
            <w:hideMark/>
          </w:tcPr>
          <w:p w14:paraId="0627EC4F" w14:textId="77777777" w:rsidR="00783731" w:rsidRPr="0007463E" w:rsidRDefault="00783731">
            <w:pPr>
              <w:rPr>
                <w:sz w:val="20"/>
                <w:szCs w:val="20"/>
                <w:highlight w:val="yellow"/>
              </w:rPr>
            </w:pPr>
          </w:p>
        </w:tc>
        <w:tc>
          <w:tcPr>
            <w:tcW w:w="1104" w:type="dxa"/>
            <w:tcBorders>
              <w:top w:val="nil"/>
              <w:left w:val="nil"/>
              <w:bottom w:val="nil"/>
              <w:right w:val="nil"/>
            </w:tcBorders>
            <w:shd w:val="clear" w:color="auto" w:fill="auto"/>
            <w:vAlign w:val="center"/>
            <w:hideMark/>
          </w:tcPr>
          <w:p w14:paraId="44A136E4" w14:textId="77777777" w:rsidR="00783731" w:rsidRPr="0007463E" w:rsidRDefault="00783731">
            <w:pPr>
              <w:rPr>
                <w:sz w:val="20"/>
                <w:szCs w:val="20"/>
                <w:highlight w:val="yellow"/>
              </w:rPr>
            </w:pPr>
          </w:p>
        </w:tc>
        <w:tc>
          <w:tcPr>
            <w:tcW w:w="1094" w:type="dxa"/>
            <w:tcBorders>
              <w:top w:val="nil"/>
              <w:left w:val="nil"/>
              <w:bottom w:val="nil"/>
              <w:right w:val="nil"/>
            </w:tcBorders>
            <w:shd w:val="clear" w:color="auto" w:fill="auto"/>
            <w:vAlign w:val="center"/>
            <w:hideMark/>
          </w:tcPr>
          <w:p w14:paraId="77C39866" w14:textId="77777777" w:rsidR="00783731" w:rsidRPr="0007463E" w:rsidRDefault="00783731">
            <w:pPr>
              <w:rPr>
                <w:sz w:val="20"/>
                <w:szCs w:val="20"/>
                <w:highlight w:val="yellow"/>
              </w:rPr>
            </w:pPr>
          </w:p>
        </w:tc>
        <w:tc>
          <w:tcPr>
            <w:tcW w:w="1280" w:type="dxa"/>
            <w:tcBorders>
              <w:top w:val="nil"/>
              <w:left w:val="nil"/>
              <w:bottom w:val="nil"/>
              <w:right w:val="nil"/>
            </w:tcBorders>
            <w:shd w:val="clear" w:color="auto" w:fill="auto"/>
            <w:noWrap/>
            <w:vAlign w:val="bottom"/>
            <w:hideMark/>
          </w:tcPr>
          <w:p w14:paraId="25BA7D83" w14:textId="77777777" w:rsidR="00783731" w:rsidRPr="0007463E" w:rsidRDefault="00783731">
            <w:pPr>
              <w:rPr>
                <w:sz w:val="20"/>
                <w:szCs w:val="20"/>
                <w:highlight w:val="yellow"/>
              </w:rPr>
            </w:pPr>
          </w:p>
        </w:tc>
      </w:tr>
      <w:tr w:rsidR="00783731" w:rsidRPr="00441EAC" w14:paraId="7C4289F6" w14:textId="77777777" w:rsidTr="00866470">
        <w:trPr>
          <w:trHeight w:val="264"/>
        </w:trPr>
        <w:tc>
          <w:tcPr>
            <w:tcW w:w="3033" w:type="dxa"/>
            <w:tcBorders>
              <w:top w:val="nil"/>
              <w:left w:val="nil"/>
              <w:bottom w:val="nil"/>
              <w:right w:val="nil"/>
            </w:tcBorders>
            <w:shd w:val="clear" w:color="auto" w:fill="auto"/>
            <w:vAlign w:val="center"/>
            <w:hideMark/>
          </w:tcPr>
          <w:p w14:paraId="5731F508" w14:textId="77777777" w:rsidR="00783731" w:rsidRPr="00441EAC" w:rsidRDefault="00783731">
            <w:pPr>
              <w:rPr>
                <w:b/>
                <w:bCs/>
                <w:color w:val="000000"/>
                <w:sz w:val="20"/>
                <w:szCs w:val="20"/>
              </w:rPr>
            </w:pPr>
            <w:r w:rsidRPr="00441EAC">
              <w:rPr>
                <w:b/>
                <w:bCs/>
                <w:color w:val="000000"/>
                <w:sz w:val="20"/>
                <w:szCs w:val="20"/>
              </w:rPr>
              <w:t>Carrying values</w:t>
            </w:r>
          </w:p>
        </w:tc>
        <w:tc>
          <w:tcPr>
            <w:tcW w:w="1294" w:type="dxa"/>
            <w:tcBorders>
              <w:top w:val="nil"/>
              <w:left w:val="nil"/>
              <w:bottom w:val="nil"/>
              <w:right w:val="nil"/>
            </w:tcBorders>
            <w:shd w:val="clear" w:color="auto" w:fill="auto"/>
            <w:vAlign w:val="center"/>
            <w:hideMark/>
          </w:tcPr>
          <w:p w14:paraId="329211A5" w14:textId="77777777" w:rsidR="00783731" w:rsidRPr="00441EAC" w:rsidRDefault="00783731">
            <w:pPr>
              <w:rPr>
                <w:b/>
                <w:bCs/>
                <w:color w:val="000000"/>
                <w:sz w:val="20"/>
                <w:szCs w:val="20"/>
              </w:rPr>
            </w:pPr>
          </w:p>
        </w:tc>
        <w:tc>
          <w:tcPr>
            <w:tcW w:w="1095" w:type="dxa"/>
            <w:tcBorders>
              <w:top w:val="nil"/>
              <w:left w:val="nil"/>
              <w:bottom w:val="nil"/>
              <w:right w:val="nil"/>
            </w:tcBorders>
            <w:shd w:val="clear" w:color="auto" w:fill="auto"/>
            <w:vAlign w:val="center"/>
            <w:hideMark/>
          </w:tcPr>
          <w:p w14:paraId="28BBA356" w14:textId="77777777" w:rsidR="00783731" w:rsidRPr="00441EAC" w:rsidRDefault="00783731">
            <w:pPr>
              <w:rPr>
                <w:sz w:val="20"/>
                <w:szCs w:val="20"/>
              </w:rPr>
            </w:pPr>
          </w:p>
        </w:tc>
        <w:tc>
          <w:tcPr>
            <w:tcW w:w="1104" w:type="dxa"/>
            <w:tcBorders>
              <w:top w:val="nil"/>
              <w:left w:val="nil"/>
              <w:bottom w:val="nil"/>
              <w:right w:val="nil"/>
            </w:tcBorders>
            <w:shd w:val="clear" w:color="auto" w:fill="auto"/>
            <w:vAlign w:val="center"/>
            <w:hideMark/>
          </w:tcPr>
          <w:p w14:paraId="4175DD27" w14:textId="77777777" w:rsidR="00783731" w:rsidRPr="00441EAC" w:rsidRDefault="00783731">
            <w:pPr>
              <w:rPr>
                <w:sz w:val="20"/>
                <w:szCs w:val="20"/>
              </w:rPr>
            </w:pPr>
          </w:p>
        </w:tc>
        <w:tc>
          <w:tcPr>
            <w:tcW w:w="1094" w:type="dxa"/>
            <w:tcBorders>
              <w:top w:val="nil"/>
              <w:left w:val="nil"/>
              <w:bottom w:val="nil"/>
              <w:right w:val="nil"/>
            </w:tcBorders>
            <w:shd w:val="clear" w:color="auto" w:fill="auto"/>
            <w:vAlign w:val="center"/>
            <w:hideMark/>
          </w:tcPr>
          <w:p w14:paraId="61B202DF" w14:textId="77777777" w:rsidR="00783731" w:rsidRPr="00441EAC" w:rsidRDefault="00783731">
            <w:pPr>
              <w:rPr>
                <w:sz w:val="20"/>
                <w:szCs w:val="20"/>
              </w:rPr>
            </w:pPr>
          </w:p>
        </w:tc>
        <w:tc>
          <w:tcPr>
            <w:tcW w:w="1280" w:type="dxa"/>
            <w:tcBorders>
              <w:top w:val="nil"/>
              <w:left w:val="nil"/>
              <w:bottom w:val="nil"/>
              <w:right w:val="nil"/>
            </w:tcBorders>
            <w:shd w:val="clear" w:color="auto" w:fill="auto"/>
            <w:noWrap/>
            <w:vAlign w:val="bottom"/>
            <w:hideMark/>
          </w:tcPr>
          <w:p w14:paraId="05251FD3" w14:textId="77777777" w:rsidR="00783731" w:rsidRPr="00441EAC" w:rsidRDefault="00783731">
            <w:pPr>
              <w:rPr>
                <w:sz w:val="20"/>
                <w:szCs w:val="20"/>
              </w:rPr>
            </w:pPr>
          </w:p>
        </w:tc>
      </w:tr>
      <w:tr w:rsidR="00783731" w:rsidRPr="00441EAC" w14:paraId="0932357B" w14:textId="77777777" w:rsidTr="00866470">
        <w:trPr>
          <w:trHeight w:val="288"/>
        </w:trPr>
        <w:tc>
          <w:tcPr>
            <w:tcW w:w="3033" w:type="dxa"/>
            <w:tcBorders>
              <w:top w:val="nil"/>
              <w:left w:val="nil"/>
              <w:bottom w:val="nil"/>
              <w:right w:val="nil"/>
            </w:tcBorders>
            <w:shd w:val="clear" w:color="auto" w:fill="auto"/>
            <w:vAlign w:val="center"/>
            <w:hideMark/>
          </w:tcPr>
          <w:p w14:paraId="1FB397EF" w14:textId="77777777" w:rsidR="00783731" w:rsidRPr="00441EAC" w:rsidRDefault="00783731">
            <w:pPr>
              <w:rPr>
                <w:color w:val="000000"/>
                <w:sz w:val="20"/>
                <w:szCs w:val="20"/>
              </w:rPr>
            </w:pPr>
            <w:r w:rsidRPr="00441EAC">
              <w:rPr>
                <w:color w:val="000000"/>
                <w:sz w:val="20"/>
                <w:szCs w:val="20"/>
              </w:rPr>
              <w:t>December 31, 2020</w:t>
            </w:r>
          </w:p>
        </w:tc>
        <w:tc>
          <w:tcPr>
            <w:tcW w:w="1294" w:type="dxa"/>
            <w:tcBorders>
              <w:top w:val="nil"/>
              <w:left w:val="nil"/>
              <w:bottom w:val="nil"/>
              <w:right w:val="nil"/>
            </w:tcBorders>
            <w:shd w:val="clear" w:color="auto" w:fill="auto"/>
            <w:vAlign w:val="center"/>
            <w:hideMark/>
          </w:tcPr>
          <w:p w14:paraId="47D85F26" w14:textId="77777777" w:rsidR="00783731" w:rsidRPr="00441EAC" w:rsidRDefault="00783731">
            <w:pPr>
              <w:rPr>
                <w:color w:val="000000"/>
                <w:sz w:val="20"/>
                <w:szCs w:val="20"/>
              </w:rPr>
            </w:pPr>
            <w:r w:rsidRPr="00441EAC">
              <w:rPr>
                <w:color w:val="000000"/>
                <w:sz w:val="20"/>
                <w:szCs w:val="20"/>
              </w:rPr>
              <w:t xml:space="preserve"> $               -   </w:t>
            </w:r>
          </w:p>
        </w:tc>
        <w:tc>
          <w:tcPr>
            <w:tcW w:w="1095" w:type="dxa"/>
            <w:tcBorders>
              <w:top w:val="nil"/>
              <w:left w:val="nil"/>
              <w:bottom w:val="nil"/>
              <w:right w:val="nil"/>
            </w:tcBorders>
            <w:shd w:val="clear" w:color="auto" w:fill="auto"/>
            <w:vAlign w:val="center"/>
            <w:hideMark/>
          </w:tcPr>
          <w:p w14:paraId="52C71EE7" w14:textId="1C0A5FDB" w:rsidR="00783731" w:rsidRPr="00441EAC" w:rsidRDefault="00783731">
            <w:pPr>
              <w:rPr>
                <w:color w:val="000000"/>
                <w:sz w:val="20"/>
                <w:szCs w:val="20"/>
              </w:rPr>
            </w:pPr>
            <w:r w:rsidRPr="00441EAC">
              <w:rPr>
                <w:color w:val="000000"/>
                <w:sz w:val="20"/>
                <w:szCs w:val="20"/>
              </w:rPr>
              <w:t xml:space="preserve"> $ 268,872 </w:t>
            </w:r>
          </w:p>
        </w:tc>
        <w:tc>
          <w:tcPr>
            <w:tcW w:w="1104" w:type="dxa"/>
            <w:tcBorders>
              <w:top w:val="nil"/>
              <w:left w:val="nil"/>
              <w:bottom w:val="nil"/>
              <w:right w:val="nil"/>
            </w:tcBorders>
            <w:shd w:val="clear" w:color="auto" w:fill="auto"/>
            <w:vAlign w:val="center"/>
            <w:hideMark/>
          </w:tcPr>
          <w:p w14:paraId="3BF9658D" w14:textId="7E996EC9" w:rsidR="00783731" w:rsidRPr="00441EAC" w:rsidRDefault="00783731">
            <w:pPr>
              <w:rPr>
                <w:color w:val="000000"/>
                <w:sz w:val="20"/>
                <w:szCs w:val="20"/>
              </w:rPr>
            </w:pPr>
            <w:r w:rsidRPr="00441EAC">
              <w:rPr>
                <w:color w:val="000000"/>
                <w:sz w:val="20"/>
                <w:szCs w:val="20"/>
              </w:rPr>
              <w:t xml:space="preserve"> $   18,561 </w:t>
            </w:r>
          </w:p>
        </w:tc>
        <w:tc>
          <w:tcPr>
            <w:tcW w:w="1094" w:type="dxa"/>
            <w:tcBorders>
              <w:top w:val="nil"/>
              <w:left w:val="nil"/>
              <w:bottom w:val="nil"/>
              <w:right w:val="nil"/>
            </w:tcBorders>
            <w:shd w:val="clear" w:color="auto" w:fill="auto"/>
            <w:vAlign w:val="center"/>
            <w:hideMark/>
          </w:tcPr>
          <w:p w14:paraId="69B99FB2" w14:textId="77777777" w:rsidR="00783731" w:rsidRPr="00441EAC" w:rsidRDefault="00783731">
            <w:pPr>
              <w:rPr>
                <w:color w:val="000000"/>
                <w:sz w:val="20"/>
                <w:szCs w:val="20"/>
              </w:rPr>
            </w:pPr>
            <w:r w:rsidRPr="00441EAC">
              <w:rPr>
                <w:color w:val="000000"/>
                <w:sz w:val="20"/>
                <w:szCs w:val="20"/>
              </w:rPr>
              <w:t xml:space="preserve"> $    2,966 </w:t>
            </w:r>
          </w:p>
        </w:tc>
        <w:tc>
          <w:tcPr>
            <w:tcW w:w="1280" w:type="dxa"/>
            <w:tcBorders>
              <w:top w:val="nil"/>
              <w:left w:val="nil"/>
              <w:bottom w:val="nil"/>
              <w:right w:val="nil"/>
            </w:tcBorders>
            <w:shd w:val="clear" w:color="auto" w:fill="auto"/>
            <w:vAlign w:val="center"/>
            <w:hideMark/>
          </w:tcPr>
          <w:p w14:paraId="113068D4" w14:textId="5D6F2C2B" w:rsidR="00783731" w:rsidRPr="00441EAC" w:rsidRDefault="00783731">
            <w:pPr>
              <w:rPr>
                <w:color w:val="000000"/>
                <w:sz w:val="20"/>
                <w:szCs w:val="20"/>
              </w:rPr>
            </w:pPr>
            <w:r w:rsidRPr="00441EAC">
              <w:rPr>
                <w:color w:val="000000"/>
                <w:sz w:val="20"/>
                <w:szCs w:val="20"/>
              </w:rPr>
              <w:t xml:space="preserve"> $     290,399 </w:t>
            </w:r>
          </w:p>
        </w:tc>
      </w:tr>
      <w:tr w:rsidR="00441EAC" w:rsidRPr="0007463E" w14:paraId="6FF60E0B" w14:textId="77777777" w:rsidTr="00866470">
        <w:trPr>
          <w:trHeight w:val="300"/>
        </w:trPr>
        <w:tc>
          <w:tcPr>
            <w:tcW w:w="3033" w:type="dxa"/>
            <w:tcBorders>
              <w:top w:val="nil"/>
              <w:left w:val="nil"/>
              <w:bottom w:val="double" w:sz="6" w:space="0" w:color="auto"/>
              <w:right w:val="nil"/>
            </w:tcBorders>
            <w:shd w:val="clear" w:color="auto" w:fill="auto"/>
            <w:vAlign w:val="center"/>
            <w:hideMark/>
          </w:tcPr>
          <w:p w14:paraId="663A6674" w14:textId="76CDFE21" w:rsidR="00441EAC" w:rsidRPr="00441EAC" w:rsidRDefault="00441EAC" w:rsidP="00441EAC">
            <w:pPr>
              <w:rPr>
                <w:color w:val="000000"/>
                <w:sz w:val="20"/>
                <w:szCs w:val="20"/>
              </w:rPr>
            </w:pPr>
            <w:r w:rsidRPr="00441EAC">
              <w:rPr>
                <w:color w:val="000000"/>
                <w:sz w:val="20"/>
                <w:szCs w:val="20"/>
              </w:rPr>
              <w:t>June 30, 2021</w:t>
            </w:r>
          </w:p>
        </w:tc>
        <w:tc>
          <w:tcPr>
            <w:tcW w:w="1294" w:type="dxa"/>
            <w:tcBorders>
              <w:top w:val="nil"/>
              <w:left w:val="nil"/>
              <w:bottom w:val="double" w:sz="6" w:space="0" w:color="auto"/>
              <w:right w:val="nil"/>
            </w:tcBorders>
            <w:shd w:val="clear" w:color="auto" w:fill="auto"/>
            <w:vAlign w:val="center"/>
            <w:hideMark/>
          </w:tcPr>
          <w:p w14:paraId="697967E0" w14:textId="77777777" w:rsidR="00441EAC" w:rsidRPr="00441EAC" w:rsidRDefault="00441EAC" w:rsidP="00441EAC">
            <w:pPr>
              <w:rPr>
                <w:color w:val="000000"/>
                <w:sz w:val="20"/>
                <w:szCs w:val="20"/>
              </w:rPr>
            </w:pPr>
            <w:r w:rsidRPr="00441EAC">
              <w:rPr>
                <w:color w:val="000000"/>
                <w:sz w:val="20"/>
                <w:szCs w:val="20"/>
              </w:rPr>
              <w:t xml:space="preserve"> $               -   </w:t>
            </w:r>
          </w:p>
        </w:tc>
        <w:tc>
          <w:tcPr>
            <w:tcW w:w="1095" w:type="dxa"/>
            <w:tcBorders>
              <w:top w:val="nil"/>
              <w:left w:val="nil"/>
              <w:bottom w:val="double" w:sz="6" w:space="0" w:color="auto"/>
              <w:right w:val="nil"/>
            </w:tcBorders>
            <w:shd w:val="clear" w:color="auto" w:fill="auto"/>
            <w:vAlign w:val="center"/>
            <w:hideMark/>
          </w:tcPr>
          <w:p w14:paraId="7192E040" w14:textId="3400AB3B" w:rsidR="00441EAC" w:rsidRPr="00441EAC" w:rsidRDefault="00441EAC" w:rsidP="00441EAC">
            <w:pPr>
              <w:rPr>
                <w:color w:val="000000"/>
                <w:sz w:val="20"/>
                <w:szCs w:val="20"/>
              </w:rPr>
            </w:pPr>
            <w:r w:rsidRPr="00441EAC">
              <w:rPr>
                <w:color w:val="000000"/>
                <w:sz w:val="20"/>
                <w:szCs w:val="20"/>
              </w:rPr>
              <w:t xml:space="preserve"> $             -   </w:t>
            </w:r>
          </w:p>
        </w:tc>
        <w:tc>
          <w:tcPr>
            <w:tcW w:w="1104" w:type="dxa"/>
            <w:tcBorders>
              <w:top w:val="nil"/>
              <w:left w:val="nil"/>
              <w:bottom w:val="double" w:sz="6" w:space="0" w:color="auto"/>
              <w:right w:val="nil"/>
            </w:tcBorders>
            <w:shd w:val="clear" w:color="auto" w:fill="auto"/>
            <w:vAlign w:val="center"/>
            <w:hideMark/>
          </w:tcPr>
          <w:p w14:paraId="2AB1FC53" w14:textId="28857822" w:rsidR="00441EAC" w:rsidRPr="00441EAC" w:rsidRDefault="00441EAC" w:rsidP="00441EAC">
            <w:pPr>
              <w:rPr>
                <w:color w:val="000000"/>
                <w:sz w:val="20"/>
                <w:szCs w:val="20"/>
              </w:rPr>
            </w:pPr>
            <w:r w:rsidRPr="00441EAC">
              <w:rPr>
                <w:color w:val="000000"/>
                <w:sz w:val="20"/>
                <w:szCs w:val="20"/>
              </w:rPr>
              <w:t xml:space="preserve"> $   16,705 </w:t>
            </w:r>
          </w:p>
        </w:tc>
        <w:tc>
          <w:tcPr>
            <w:tcW w:w="1094" w:type="dxa"/>
            <w:tcBorders>
              <w:top w:val="nil"/>
              <w:left w:val="nil"/>
              <w:bottom w:val="double" w:sz="6" w:space="0" w:color="auto"/>
              <w:right w:val="nil"/>
            </w:tcBorders>
            <w:shd w:val="clear" w:color="auto" w:fill="auto"/>
            <w:vAlign w:val="center"/>
            <w:hideMark/>
          </w:tcPr>
          <w:p w14:paraId="0929C669" w14:textId="2E47F4DE" w:rsidR="00441EAC" w:rsidRPr="00441EAC" w:rsidRDefault="00441EAC" w:rsidP="00441EAC">
            <w:pPr>
              <w:rPr>
                <w:color w:val="000000"/>
                <w:sz w:val="20"/>
                <w:szCs w:val="20"/>
              </w:rPr>
            </w:pPr>
            <w:r w:rsidRPr="00441EAC">
              <w:rPr>
                <w:color w:val="000000"/>
                <w:sz w:val="20"/>
                <w:szCs w:val="20"/>
              </w:rPr>
              <w:t xml:space="preserve"> $    2,150 </w:t>
            </w:r>
          </w:p>
        </w:tc>
        <w:tc>
          <w:tcPr>
            <w:tcW w:w="1280" w:type="dxa"/>
            <w:tcBorders>
              <w:top w:val="nil"/>
              <w:left w:val="nil"/>
              <w:bottom w:val="double" w:sz="6" w:space="0" w:color="auto"/>
              <w:right w:val="nil"/>
            </w:tcBorders>
            <w:shd w:val="clear" w:color="auto" w:fill="auto"/>
            <w:vAlign w:val="center"/>
            <w:hideMark/>
          </w:tcPr>
          <w:p w14:paraId="22AD5DD9" w14:textId="1E4876CA" w:rsidR="00441EAC" w:rsidRPr="00441EAC" w:rsidRDefault="00441EAC" w:rsidP="00441EAC">
            <w:pPr>
              <w:rPr>
                <w:color w:val="000000"/>
                <w:sz w:val="20"/>
                <w:szCs w:val="20"/>
              </w:rPr>
            </w:pPr>
            <w:r w:rsidRPr="00441EAC">
              <w:rPr>
                <w:color w:val="000000"/>
                <w:sz w:val="20"/>
                <w:szCs w:val="20"/>
              </w:rPr>
              <w:t xml:space="preserve"> $      18,855 </w:t>
            </w:r>
          </w:p>
        </w:tc>
      </w:tr>
    </w:tbl>
    <w:p w14:paraId="3F68CEC7" w14:textId="77777777" w:rsidR="0037068E" w:rsidRPr="0007463E" w:rsidRDefault="0037068E" w:rsidP="0037068E">
      <w:pPr>
        <w:pStyle w:val="ListParagraph"/>
        <w:ind w:left="284"/>
        <w:jc w:val="both"/>
        <w:rPr>
          <w:b/>
          <w:bCs/>
          <w:sz w:val="20"/>
          <w:szCs w:val="20"/>
          <w:highlight w:val="yellow"/>
        </w:rPr>
      </w:pPr>
    </w:p>
    <w:p w14:paraId="08A118B7" w14:textId="77777777" w:rsidR="00FC6ABC" w:rsidRPr="0007463E" w:rsidRDefault="00FC6ABC" w:rsidP="00FC6ABC">
      <w:pPr>
        <w:jc w:val="both"/>
        <w:rPr>
          <w:b/>
          <w:bCs/>
          <w:sz w:val="20"/>
          <w:szCs w:val="20"/>
          <w:highlight w:val="yellow"/>
        </w:rPr>
      </w:pPr>
    </w:p>
    <w:p w14:paraId="263DE1C5" w14:textId="4F3478B5" w:rsidR="00DE5F77" w:rsidRPr="0007463E" w:rsidRDefault="00DE5F77" w:rsidP="00DE5F77">
      <w:pPr>
        <w:pStyle w:val="ListParagraph"/>
        <w:ind w:left="284"/>
        <w:jc w:val="both"/>
        <w:rPr>
          <w:b/>
          <w:bCs/>
          <w:sz w:val="20"/>
          <w:szCs w:val="20"/>
          <w:highlight w:val="yellow"/>
        </w:rPr>
      </w:pPr>
    </w:p>
    <w:p w14:paraId="2B0791AB" w14:textId="77777777" w:rsidR="00DE5F77" w:rsidRPr="0007463E" w:rsidRDefault="00DE5F77">
      <w:pPr>
        <w:rPr>
          <w:b/>
          <w:bCs/>
          <w:sz w:val="20"/>
          <w:szCs w:val="20"/>
          <w:highlight w:val="yellow"/>
        </w:rPr>
      </w:pPr>
      <w:r w:rsidRPr="0007463E">
        <w:rPr>
          <w:b/>
          <w:bCs/>
          <w:sz w:val="20"/>
          <w:szCs w:val="20"/>
          <w:highlight w:val="yellow"/>
        </w:rPr>
        <w:br w:type="page"/>
      </w:r>
    </w:p>
    <w:p w14:paraId="55343725" w14:textId="77777777" w:rsidR="00DE5F77" w:rsidRPr="00816C79" w:rsidRDefault="00DE5F77" w:rsidP="00DE5F77">
      <w:pPr>
        <w:pStyle w:val="ListParagraph"/>
        <w:ind w:left="284"/>
        <w:jc w:val="both"/>
        <w:rPr>
          <w:b/>
          <w:bCs/>
          <w:sz w:val="20"/>
          <w:szCs w:val="20"/>
        </w:rPr>
      </w:pPr>
    </w:p>
    <w:p w14:paraId="046740C4" w14:textId="164A9CC8" w:rsidR="00DF5F1D" w:rsidRPr="00816C79" w:rsidRDefault="00DF5F1D" w:rsidP="00371BEA">
      <w:pPr>
        <w:pStyle w:val="ListParagraph"/>
        <w:numPr>
          <w:ilvl w:val="0"/>
          <w:numId w:val="28"/>
        </w:numPr>
        <w:ind w:left="284"/>
        <w:jc w:val="both"/>
        <w:rPr>
          <w:b/>
          <w:bCs/>
          <w:sz w:val="20"/>
          <w:szCs w:val="20"/>
        </w:rPr>
      </w:pPr>
      <w:r w:rsidRPr="00816C79">
        <w:rPr>
          <w:b/>
          <w:bCs/>
          <w:sz w:val="20"/>
          <w:szCs w:val="20"/>
        </w:rPr>
        <w:t>INTANGIBLE ASSETS</w:t>
      </w:r>
    </w:p>
    <w:p w14:paraId="161D50BF" w14:textId="54CA4D05" w:rsidR="00783731" w:rsidRPr="00816C79" w:rsidRDefault="00783731" w:rsidP="00783731">
      <w:pPr>
        <w:jc w:val="both"/>
        <w:rPr>
          <w:b/>
          <w:bCs/>
          <w:sz w:val="20"/>
          <w:szCs w:val="20"/>
        </w:rPr>
      </w:pPr>
    </w:p>
    <w:tbl>
      <w:tblPr>
        <w:tblW w:w="0" w:type="auto"/>
        <w:tblInd w:w="284" w:type="dxa"/>
        <w:tblLayout w:type="fixed"/>
        <w:tblLook w:val="04A0" w:firstRow="1" w:lastRow="0" w:firstColumn="1" w:lastColumn="0" w:noHBand="0" w:noVBand="1"/>
      </w:tblPr>
      <w:tblGrid>
        <w:gridCol w:w="2977"/>
        <w:gridCol w:w="1331"/>
        <w:gridCol w:w="1164"/>
        <w:gridCol w:w="1164"/>
        <w:gridCol w:w="1138"/>
        <w:gridCol w:w="1298"/>
      </w:tblGrid>
      <w:tr w:rsidR="00783731" w:rsidRPr="00816C79" w14:paraId="46F7F0AE" w14:textId="77777777" w:rsidTr="00866470">
        <w:trPr>
          <w:trHeight w:val="804"/>
        </w:trPr>
        <w:tc>
          <w:tcPr>
            <w:tcW w:w="2977" w:type="dxa"/>
            <w:tcBorders>
              <w:top w:val="double" w:sz="6" w:space="0" w:color="auto"/>
              <w:left w:val="nil"/>
              <w:bottom w:val="single" w:sz="4" w:space="0" w:color="auto"/>
              <w:right w:val="nil"/>
            </w:tcBorders>
            <w:shd w:val="clear" w:color="auto" w:fill="auto"/>
            <w:vAlign w:val="bottom"/>
            <w:hideMark/>
          </w:tcPr>
          <w:p w14:paraId="7DAF7ECF" w14:textId="77777777" w:rsidR="00783731" w:rsidRPr="00816C79" w:rsidRDefault="00783731" w:rsidP="00783731">
            <w:pPr>
              <w:jc w:val="right"/>
              <w:outlineLvl w:val="0"/>
              <w:rPr>
                <w:color w:val="000000"/>
                <w:sz w:val="20"/>
                <w:szCs w:val="20"/>
              </w:rPr>
            </w:pPr>
            <w:r w:rsidRPr="00816C79">
              <w:rPr>
                <w:color w:val="000000"/>
                <w:sz w:val="20"/>
                <w:szCs w:val="20"/>
              </w:rPr>
              <w:t> </w:t>
            </w:r>
          </w:p>
        </w:tc>
        <w:tc>
          <w:tcPr>
            <w:tcW w:w="1331" w:type="dxa"/>
            <w:tcBorders>
              <w:top w:val="double" w:sz="6" w:space="0" w:color="auto"/>
              <w:left w:val="nil"/>
              <w:bottom w:val="single" w:sz="4" w:space="0" w:color="auto"/>
              <w:right w:val="nil"/>
            </w:tcBorders>
            <w:shd w:val="clear" w:color="auto" w:fill="auto"/>
            <w:vAlign w:val="bottom"/>
            <w:hideMark/>
          </w:tcPr>
          <w:p w14:paraId="50A0B9B8" w14:textId="77777777" w:rsidR="00783731" w:rsidRPr="00816C79" w:rsidRDefault="00783731" w:rsidP="00783731">
            <w:pPr>
              <w:jc w:val="right"/>
              <w:outlineLvl w:val="0"/>
              <w:rPr>
                <w:color w:val="000000"/>
                <w:sz w:val="20"/>
                <w:szCs w:val="20"/>
              </w:rPr>
            </w:pPr>
            <w:r w:rsidRPr="00816C79">
              <w:rPr>
                <w:color w:val="000000"/>
                <w:sz w:val="20"/>
                <w:szCs w:val="20"/>
              </w:rPr>
              <w:t>Internally developed software</w:t>
            </w:r>
          </w:p>
        </w:tc>
        <w:tc>
          <w:tcPr>
            <w:tcW w:w="1164" w:type="dxa"/>
            <w:tcBorders>
              <w:top w:val="double" w:sz="6" w:space="0" w:color="auto"/>
              <w:left w:val="nil"/>
              <w:bottom w:val="single" w:sz="4" w:space="0" w:color="auto"/>
              <w:right w:val="nil"/>
            </w:tcBorders>
            <w:shd w:val="clear" w:color="auto" w:fill="auto"/>
            <w:vAlign w:val="bottom"/>
            <w:hideMark/>
          </w:tcPr>
          <w:p w14:paraId="41019EB0" w14:textId="77777777" w:rsidR="00783731" w:rsidRPr="00816C79" w:rsidRDefault="00783731" w:rsidP="00783731">
            <w:pPr>
              <w:jc w:val="right"/>
              <w:outlineLvl w:val="0"/>
              <w:rPr>
                <w:color w:val="000000"/>
                <w:sz w:val="20"/>
                <w:szCs w:val="20"/>
              </w:rPr>
            </w:pPr>
            <w:r w:rsidRPr="00816C79">
              <w:rPr>
                <w:color w:val="000000"/>
                <w:sz w:val="20"/>
                <w:szCs w:val="20"/>
              </w:rPr>
              <w:t>Score-Up platform</w:t>
            </w:r>
          </w:p>
        </w:tc>
        <w:tc>
          <w:tcPr>
            <w:tcW w:w="1164" w:type="dxa"/>
            <w:tcBorders>
              <w:top w:val="double" w:sz="6" w:space="0" w:color="auto"/>
              <w:left w:val="nil"/>
              <w:bottom w:val="single" w:sz="4" w:space="0" w:color="auto"/>
              <w:right w:val="nil"/>
            </w:tcBorders>
            <w:shd w:val="clear" w:color="auto" w:fill="auto"/>
            <w:vAlign w:val="bottom"/>
            <w:hideMark/>
          </w:tcPr>
          <w:p w14:paraId="76318D6B" w14:textId="77777777" w:rsidR="00783731" w:rsidRPr="00816C79" w:rsidRDefault="00783731" w:rsidP="00783731">
            <w:pPr>
              <w:jc w:val="right"/>
              <w:outlineLvl w:val="0"/>
              <w:rPr>
                <w:color w:val="000000"/>
                <w:sz w:val="20"/>
                <w:szCs w:val="20"/>
              </w:rPr>
            </w:pPr>
            <w:r w:rsidRPr="00816C79">
              <w:rPr>
                <w:color w:val="000000"/>
                <w:sz w:val="20"/>
                <w:szCs w:val="20"/>
              </w:rPr>
              <w:t>Credit Meds software</w:t>
            </w:r>
          </w:p>
        </w:tc>
        <w:tc>
          <w:tcPr>
            <w:tcW w:w="1138" w:type="dxa"/>
            <w:tcBorders>
              <w:top w:val="double" w:sz="6" w:space="0" w:color="auto"/>
              <w:left w:val="nil"/>
              <w:bottom w:val="single" w:sz="4" w:space="0" w:color="auto"/>
              <w:right w:val="nil"/>
            </w:tcBorders>
            <w:shd w:val="clear" w:color="auto" w:fill="auto"/>
            <w:vAlign w:val="bottom"/>
            <w:hideMark/>
          </w:tcPr>
          <w:p w14:paraId="660B26A6" w14:textId="77777777" w:rsidR="00783731" w:rsidRPr="00816C79" w:rsidRDefault="00783731" w:rsidP="00783731">
            <w:pPr>
              <w:jc w:val="right"/>
              <w:outlineLvl w:val="0"/>
              <w:rPr>
                <w:color w:val="000000"/>
                <w:sz w:val="20"/>
                <w:szCs w:val="20"/>
              </w:rPr>
            </w:pPr>
            <w:r w:rsidRPr="00816C79">
              <w:rPr>
                <w:color w:val="000000"/>
                <w:sz w:val="20"/>
                <w:szCs w:val="20"/>
              </w:rPr>
              <w:t>Trademark</w:t>
            </w:r>
          </w:p>
        </w:tc>
        <w:tc>
          <w:tcPr>
            <w:tcW w:w="1298" w:type="dxa"/>
            <w:tcBorders>
              <w:top w:val="double" w:sz="6" w:space="0" w:color="auto"/>
              <w:left w:val="nil"/>
              <w:bottom w:val="single" w:sz="4" w:space="0" w:color="auto"/>
              <w:right w:val="nil"/>
            </w:tcBorders>
            <w:shd w:val="clear" w:color="auto" w:fill="auto"/>
            <w:vAlign w:val="bottom"/>
            <w:hideMark/>
          </w:tcPr>
          <w:p w14:paraId="54D693FB" w14:textId="77777777" w:rsidR="00783731" w:rsidRPr="00816C79" w:rsidRDefault="00783731" w:rsidP="00783731">
            <w:pPr>
              <w:jc w:val="right"/>
              <w:outlineLvl w:val="0"/>
              <w:rPr>
                <w:color w:val="000000"/>
                <w:sz w:val="20"/>
                <w:szCs w:val="20"/>
              </w:rPr>
            </w:pPr>
            <w:r w:rsidRPr="00816C79">
              <w:rPr>
                <w:color w:val="000000"/>
                <w:sz w:val="20"/>
                <w:szCs w:val="20"/>
              </w:rPr>
              <w:t>Total</w:t>
            </w:r>
          </w:p>
        </w:tc>
      </w:tr>
      <w:tr w:rsidR="00783731" w:rsidRPr="00816C79" w14:paraId="25086FE7" w14:textId="77777777" w:rsidTr="00866470">
        <w:trPr>
          <w:trHeight w:val="264"/>
        </w:trPr>
        <w:tc>
          <w:tcPr>
            <w:tcW w:w="2977" w:type="dxa"/>
            <w:tcBorders>
              <w:top w:val="nil"/>
              <w:left w:val="nil"/>
              <w:bottom w:val="nil"/>
              <w:right w:val="nil"/>
            </w:tcBorders>
            <w:shd w:val="clear" w:color="auto" w:fill="auto"/>
            <w:vAlign w:val="center"/>
            <w:hideMark/>
          </w:tcPr>
          <w:p w14:paraId="30D91DA7" w14:textId="77777777" w:rsidR="00783731" w:rsidRPr="00816C79" w:rsidRDefault="00783731" w:rsidP="00783731">
            <w:pPr>
              <w:jc w:val="right"/>
              <w:outlineLvl w:val="0"/>
              <w:rPr>
                <w:color w:val="000000"/>
                <w:sz w:val="20"/>
                <w:szCs w:val="20"/>
              </w:rPr>
            </w:pPr>
          </w:p>
        </w:tc>
        <w:tc>
          <w:tcPr>
            <w:tcW w:w="1331" w:type="dxa"/>
            <w:tcBorders>
              <w:top w:val="nil"/>
              <w:left w:val="nil"/>
              <w:bottom w:val="nil"/>
              <w:right w:val="nil"/>
            </w:tcBorders>
            <w:shd w:val="clear" w:color="auto" w:fill="auto"/>
            <w:vAlign w:val="center"/>
            <w:hideMark/>
          </w:tcPr>
          <w:p w14:paraId="14534C5D" w14:textId="77777777" w:rsidR="00783731" w:rsidRPr="00816C79" w:rsidRDefault="00783731" w:rsidP="00783731">
            <w:pPr>
              <w:outlineLvl w:val="0"/>
              <w:rPr>
                <w:sz w:val="20"/>
                <w:szCs w:val="20"/>
              </w:rPr>
            </w:pPr>
          </w:p>
        </w:tc>
        <w:tc>
          <w:tcPr>
            <w:tcW w:w="1164" w:type="dxa"/>
            <w:tcBorders>
              <w:top w:val="nil"/>
              <w:left w:val="nil"/>
              <w:bottom w:val="nil"/>
              <w:right w:val="nil"/>
            </w:tcBorders>
            <w:shd w:val="clear" w:color="auto" w:fill="auto"/>
            <w:vAlign w:val="center"/>
            <w:hideMark/>
          </w:tcPr>
          <w:p w14:paraId="5AA54434" w14:textId="77777777" w:rsidR="00783731" w:rsidRPr="00816C79" w:rsidRDefault="00783731" w:rsidP="00783731">
            <w:pPr>
              <w:outlineLvl w:val="0"/>
              <w:rPr>
                <w:sz w:val="20"/>
                <w:szCs w:val="20"/>
              </w:rPr>
            </w:pPr>
          </w:p>
        </w:tc>
        <w:tc>
          <w:tcPr>
            <w:tcW w:w="1164" w:type="dxa"/>
            <w:tcBorders>
              <w:top w:val="nil"/>
              <w:left w:val="nil"/>
              <w:bottom w:val="nil"/>
              <w:right w:val="nil"/>
            </w:tcBorders>
            <w:shd w:val="clear" w:color="auto" w:fill="auto"/>
            <w:vAlign w:val="center"/>
            <w:hideMark/>
          </w:tcPr>
          <w:p w14:paraId="1136767B" w14:textId="77777777" w:rsidR="00783731" w:rsidRPr="00816C79" w:rsidRDefault="00783731" w:rsidP="00783731">
            <w:pPr>
              <w:outlineLvl w:val="0"/>
              <w:rPr>
                <w:sz w:val="20"/>
                <w:szCs w:val="20"/>
              </w:rPr>
            </w:pPr>
          </w:p>
        </w:tc>
        <w:tc>
          <w:tcPr>
            <w:tcW w:w="1138" w:type="dxa"/>
            <w:tcBorders>
              <w:top w:val="nil"/>
              <w:left w:val="nil"/>
              <w:bottom w:val="nil"/>
              <w:right w:val="nil"/>
            </w:tcBorders>
            <w:shd w:val="clear" w:color="auto" w:fill="auto"/>
            <w:vAlign w:val="center"/>
            <w:hideMark/>
          </w:tcPr>
          <w:p w14:paraId="716BFC43" w14:textId="77777777" w:rsidR="00783731" w:rsidRPr="00816C79" w:rsidRDefault="00783731" w:rsidP="00783731">
            <w:pPr>
              <w:outlineLvl w:val="0"/>
              <w:rPr>
                <w:sz w:val="20"/>
                <w:szCs w:val="20"/>
              </w:rPr>
            </w:pPr>
          </w:p>
        </w:tc>
        <w:tc>
          <w:tcPr>
            <w:tcW w:w="1298" w:type="dxa"/>
            <w:tcBorders>
              <w:top w:val="nil"/>
              <w:left w:val="nil"/>
              <w:bottom w:val="nil"/>
              <w:right w:val="nil"/>
            </w:tcBorders>
            <w:shd w:val="clear" w:color="auto" w:fill="auto"/>
            <w:vAlign w:val="center"/>
            <w:hideMark/>
          </w:tcPr>
          <w:p w14:paraId="56B97D4A" w14:textId="77777777" w:rsidR="00783731" w:rsidRPr="00816C79" w:rsidRDefault="00783731" w:rsidP="00783731">
            <w:pPr>
              <w:outlineLvl w:val="0"/>
              <w:rPr>
                <w:sz w:val="20"/>
                <w:szCs w:val="20"/>
              </w:rPr>
            </w:pPr>
          </w:p>
        </w:tc>
      </w:tr>
      <w:tr w:rsidR="00783731" w:rsidRPr="00816C79" w14:paraId="3EEF91E5" w14:textId="77777777" w:rsidTr="00866470">
        <w:trPr>
          <w:trHeight w:val="264"/>
        </w:trPr>
        <w:tc>
          <w:tcPr>
            <w:tcW w:w="2977" w:type="dxa"/>
            <w:tcBorders>
              <w:top w:val="nil"/>
              <w:left w:val="nil"/>
              <w:bottom w:val="nil"/>
              <w:right w:val="nil"/>
            </w:tcBorders>
            <w:shd w:val="clear" w:color="auto" w:fill="auto"/>
            <w:vAlign w:val="center"/>
            <w:hideMark/>
          </w:tcPr>
          <w:p w14:paraId="4FB9B999" w14:textId="77777777" w:rsidR="00783731" w:rsidRPr="00816C79" w:rsidRDefault="00783731" w:rsidP="00783731">
            <w:pPr>
              <w:outlineLvl w:val="0"/>
              <w:rPr>
                <w:b/>
                <w:bCs/>
                <w:color w:val="000000"/>
                <w:sz w:val="20"/>
                <w:szCs w:val="20"/>
              </w:rPr>
            </w:pPr>
            <w:r w:rsidRPr="00816C79">
              <w:rPr>
                <w:b/>
                <w:bCs/>
                <w:color w:val="000000"/>
                <w:sz w:val="20"/>
                <w:szCs w:val="20"/>
              </w:rPr>
              <w:t>Cost</w:t>
            </w:r>
          </w:p>
        </w:tc>
        <w:tc>
          <w:tcPr>
            <w:tcW w:w="1331" w:type="dxa"/>
            <w:tcBorders>
              <w:top w:val="nil"/>
              <w:left w:val="nil"/>
              <w:bottom w:val="nil"/>
              <w:right w:val="nil"/>
            </w:tcBorders>
            <w:shd w:val="clear" w:color="auto" w:fill="auto"/>
            <w:vAlign w:val="center"/>
            <w:hideMark/>
          </w:tcPr>
          <w:p w14:paraId="231203C4" w14:textId="77777777" w:rsidR="00783731" w:rsidRPr="00816C79" w:rsidRDefault="00783731" w:rsidP="00783731">
            <w:pPr>
              <w:outlineLvl w:val="0"/>
              <w:rPr>
                <w:b/>
                <w:bCs/>
                <w:color w:val="000000"/>
                <w:sz w:val="20"/>
                <w:szCs w:val="20"/>
              </w:rPr>
            </w:pPr>
          </w:p>
        </w:tc>
        <w:tc>
          <w:tcPr>
            <w:tcW w:w="1164" w:type="dxa"/>
            <w:tcBorders>
              <w:top w:val="nil"/>
              <w:left w:val="nil"/>
              <w:bottom w:val="nil"/>
              <w:right w:val="nil"/>
            </w:tcBorders>
            <w:shd w:val="clear" w:color="auto" w:fill="auto"/>
            <w:vAlign w:val="center"/>
            <w:hideMark/>
          </w:tcPr>
          <w:p w14:paraId="0527403C" w14:textId="77777777" w:rsidR="00783731" w:rsidRPr="00816C79" w:rsidRDefault="00783731" w:rsidP="00783731">
            <w:pPr>
              <w:outlineLvl w:val="0"/>
              <w:rPr>
                <w:sz w:val="20"/>
                <w:szCs w:val="20"/>
              </w:rPr>
            </w:pPr>
          </w:p>
        </w:tc>
        <w:tc>
          <w:tcPr>
            <w:tcW w:w="1164" w:type="dxa"/>
            <w:tcBorders>
              <w:top w:val="nil"/>
              <w:left w:val="nil"/>
              <w:bottom w:val="nil"/>
              <w:right w:val="nil"/>
            </w:tcBorders>
            <w:shd w:val="clear" w:color="auto" w:fill="auto"/>
            <w:vAlign w:val="center"/>
            <w:hideMark/>
          </w:tcPr>
          <w:p w14:paraId="4DD802F5" w14:textId="77777777" w:rsidR="00783731" w:rsidRPr="00816C79" w:rsidRDefault="00783731" w:rsidP="00783731">
            <w:pPr>
              <w:outlineLvl w:val="0"/>
              <w:rPr>
                <w:sz w:val="20"/>
                <w:szCs w:val="20"/>
              </w:rPr>
            </w:pPr>
          </w:p>
        </w:tc>
        <w:tc>
          <w:tcPr>
            <w:tcW w:w="1138" w:type="dxa"/>
            <w:tcBorders>
              <w:top w:val="nil"/>
              <w:left w:val="nil"/>
              <w:bottom w:val="nil"/>
              <w:right w:val="nil"/>
            </w:tcBorders>
            <w:shd w:val="clear" w:color="auto" w:fill="auto"/>
            <w:vAlign w:val="center"/>
            <w:hideMark/>
          </w:tcPr>
          <w:p w14:paraId="72F63D94" w14:textId="77777777" w:rsidR="00783731" w:rsidRPr="00816C79" w:rsidRDefault="00783731" w:rsidP="00783731">
            <w:pPr>
              <w:outlineLvl w:val="0"/>
              <w:rPr>
                <w:sz w:val="20"/>
                <w:szCs w:val="20"/>
              </w:rPr>
            </w:pPr>
          </w:p>
        </w:tc>
        <w:tc>
          <w:tcPr>
            <w:tcW w:w="1298" w:type="dxa"/>
            <w:tcBorders>
              <w:top w:val="nil"/>
              <w:left w:val="nil"/>
              <w:bottom w:val="nil"/>
              <w:right w:val="nil"/>
            </w:tcBorders>
            <w:shd w:val="clear" w:color="auto" w:fill="auto"/>
            <w:vAlign w:val="center"/>
            <w:hideMark/>
          </w:tcPr>
          <w:p w14:paraId="6BA54907" w14:textId="77777777" w:rsidR="00783731" w:rsidRPr="00816C79" w:rsidRDefault="00783731" w:rsidP="00783731">
            <w:pPr>
              <w:outlineLvl w:val="0"/>
              <w:rPr>
                <w:sz w:val="20"/>
                <w:szCs w:val="20"/>
              </w:rPr>
            </w:pPr>
          </w:p>
        </w:tc>
      </w:tr>
      <w:tr w:rsidR="00783731" w:rsidRPr="00816C79" w14:paraId="7C973D04" w14:textId="77777777" w:rsidTr="00866470">
        <w:trPr>
          <w:trHeight w:val="264"/>
        </w:trPr>
        <w:tc>
          <w:tcPr>
            <w:tcW w:w="2977" w:type="dxa"/>
            <w:tcBorders>
              <w:top w:val="nil"/>
              <w:left w:val="nil"/>
              <w:bottom w:val="nil"/>
              <w:right w:val="nil"/>
            </w:tcBorders>
            <w:shd w:val="clear" w:color="auto" w:fill="auto"/>
            <w:vAlign w:val="center"/>
            <w:hideMark/>
          </w:tcPr>
          <w:p w14:paraId="07BCDDE1" w14:textId="77777777" w:rsidR="00783731" w:rsidRPr="00816C79" w:rsidRDefault="00783731" w:rsidP="00783731">
            <w:pPr>
              <w:rPr>
                <w:color w:val="000000"/>
                <w:sz w:val="20"/>
                <w:szCs w:val="20"/>
              </w:rPr>
            </w:pPr>
            <w:r w:rsidRPr="00816C79">
              <w:rPr>
                <w:color w:val="000000"/>
                <w:sz w:val="20"/>
                <w:szCs w:val="20"/>
              </w:rPr>
              <w:t xml:space="preserve">December 31, 2019, </w:t>
            </w:r>
          </w:p>
        </w:tc>
        <w:tc>
          <w:tcPr>
            <w:tcW w:w="1331" w:type="dxa"/>
            <w:tcBorders>
              <w:top w:val="nil"/>
              <w:left w:val="nil"/>
              <w:bottom w:val="nil"/>
              <w:right w:val="nil"/>
            </w:tcBorders>
            <w:shd w:val="clear" w:color="auto" w:fill="auto"/>
            <w:noWrap/>
            <w:vAlign w:val="bottom"/>
            <w:hideMark/>
          </w:tcPr>
          <w:p w14:paraId="7398B27D" w14:textId="77777777" w:rsidR="00783731" w:rsidRPr="00816C79" w:rsidRDefault="00783731" w:rsidP="00783731">
            <w:pPr>
              <w:rPr>
                <w:color w:val="000000"/>
                <w:sz w:val="20"/>
                <w:szCs w:val="20"/>
              </w:rPr>
            </w:pPr>
          </w:p>
        </w:tc>
        <w:tc>
          <w:tcPr>
            <w:tcW w:w="1164" w:type="dxa"/>
            <w:tcBorders>
              <w:top w:val="nil"/>
              <w:left w:val="nil"/>
              <w:bottom w:val="nil"/>
              <w:right w:val="nil"/>
            </w:tcBorders>
            <w:shd w:val="clear" w:color="auto" w:fill="auto"/>
            <w:noWrap/>
            <w:vAlign w:val="bottom"/>
            <w:hideMark/>
          </w:tcPr>
          <w:p w14:paraId="440456A0"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noWrap/>
            <w:vAlign w:val="bottom"/>
            <w:hideMark/>
          </w:tcPr>
          <w:p w14:paraId="757C23A5"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noWrap/>
            <w:vAlign w:val="bottom"/>
            <w:hideMark/>
          </w:tcPr>
          <w:p w14:paraId="367063E2"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noWrap/>
            <w:vAlign w:val="bottom"/>
            <w:hideMark/>
          </w:tcPr>
          <w:p w14:paraId="10B4A128" w14:textId="77777777" w:rsidR="00783731" w:rsidRPr="00816C79" w:rsidRDefault="00783731" w:rsidP="00783731">
            <w:pPr>
              <w:rPr>
                <w:sz w:val="20"/>
                <w:szCs w:val="20"/>
              </w:rPr>
            </w:pPr>
          </w:p>
        </w:tc>
      </w:tr>
      <w:tr w:rsidR="00783731" w:rsidRPr="00816C79" w14:paraId="29B2511A" w14:textId="77777777" w:rsidTr="00866470">
        <w:trPr>
          <w:trHeight w:val="264"/>
        </w:trPr>
        <w:tc>
          <w:tcPr>
            <w:tcW w:w="2977" w:type="dxa"/>
            <w:tcBorders>
              <w:top w:val="nil"/>
              <w:left w:val="nil"/>
              <w:bottom w:val="nil"/>
              <w:right w:val="nil"/>
            </w:tcBorders>
            <w:shd w:val="clear" w:color="auto" w:fill="auto"/>
            <w:vAlign w:val="center"/>
            <w:hideMark/>
          </w:tcPr>
          <w:p w14:paraId="510CB937" w14:textId="77777777" w:rsidR="00783731" w:rsidRPr="00816C79" w:rsidRDefault="00783731" w:rsidP="00783731">
            <w:pPr>
              <w:rPr>
                <w:color w:val="000000"/>
                <w:sz w:val="20"/>
                <w:szCs w:val="20"/>
              </w:rPr>
            </w:pPr>
            <w:r w:rsidRPr="00816C79">
              <w:rPr>
                <w:color w:val="000000"/>
                <w:sz w:val="20"/>
                <w:szCs w:val="20"/>
              </w:rPr>
              <w:t xml:space="preserve">December 31, </w:t>
            </w:r>
            <w:proofErr w:type="gramStart"/>
            <w:r w:rsidRPr="00816C79">
              <w:rPr>
                <w:color w:val="000000"/>
                <w:sz w:val="20"/>
                <w:szCs w:val="20"/>
              </w:rPr>
              <w:t>2020</w:t>
            </w:r>
            <w:proofErr w:type="gramEnd"/>
            <w:r w:rsidRPr="00816C79">
              <w:rPr>
                <w:color w:val="000000"/>
                <w:sz w:val="20"/>
                <w:szCs w:val="20"/>
              </w:rPr>
              <w:t xml:space="preserve"> and</w:t>
            </w:r>
          </w:p>
        </w:tc>
        <w:tc>
          <w:tcPr>
            <w:tcW w:w="1331" w:type="dxa"/>
            <w:tcBorders>
              <w:top w:val="nil"/>
              <w:left w:val="nil"/>
              <w:bottom w:val="nil"/>
              <w:right w:val="nil"/>
            </w:tcBorders>
            <w:shd w:val="clear" w:color="auto" w:fill="auto"/>
            <w:noWrap/>
            <w:vAlign w:val="bottom"/>
            <w:hideMark/>
          </w:tcPr>
          <w:p w14:paraId="702A4912" w14:textId="77777777" w:rsidR="00783731" w:rsidRPr="00816C79" w:rsidRDefault="00783731" w:rsidP="00783731">
            <w:pPr>
              <w:rPr>
                <w:color w:val="000000"/>
                <w:sz w:val="20"/>
                <w:szCs w:val="20"/>
              </w:rPr>
            </w:pPr>
          </w:p>
        </w:tc>
        <w:tc>
          <w:tcPr>
            <w:tcW w:w="1164" w:type="dxa"/>
            <w:tcBorders>
              <w:top w:val="nil"/>
              <w:left w:val="nil"/>
              <w:bottom w:val="nil"/>
              <w:right w:val="nil"/>
            </w:tcBorders>
            <w:shd w:val="clear" w:color="auto" w:fill="auto"/>
            <w:noWrap/>
            <w:vAlign w:val="bottom"/>
            <w:hideMark/>
          </w:tcPr>
          <w:p w14:paraId="21422C6E"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noWrap/>
            <w:vAlign w:val="bottom"/>
            <w:hideMark/>
          </w:tcPr>
          <w:p w14:paraId="02AF393A"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noWrap/>
            <w:vAlign w:val="bottom"/>
            <w:hideMark/>
          </w:tcPr>
          <w:p w14:paraId="17332191"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noWrap/>
            <w:vAlign w:val="bottom"/>
            <w:hideMark/>
          </w:tcPr>
          <w:p w14:paraId="1F9B73B3" w14:textId="77777777" w:rsidR="00783731" w:rsidRPr="00816C79" w:rsidRDefault="00783731" w:rsidP="00783731">
            <w:pPr>
              <w:rPr>
                <w:sz w:val="20"/>
                <w:szCs w:val="20"/>
              </w:rPr>
            </w:pPr>
          </w:p>
        </w:tc>
      </w:tr>
      <w:tr w:rsidR="00783731" w:rsidRPr="00816C79" w14:paraId="36322E30" w14:textId="77777777" w:rsidTr="00866470">
        <w:trPr>
          <w:trHeight w:val="288"/>
        </w:trPr>
        <w:tc>
          <w:tcPr>
            <w:tcW w:w="2977" w:type="dxa"/>
            <w:tcBorders>
              <w:top w:val="nil"/>
              <w:left w:val="nil"/>
              <w:bottom w:val="single" w:sz="4" w:space="0" w:color="auto"/>
              <w:right w:val="nil"/>
            </w:tcBorders>
            <w:shd w:val="clear" w:color="auto" w:fill="auto"/>
            <w:vAlign w:val="center"/>
            <w:hideMark/>
          </w:tcPr>
          <w:p w14:paraId="38DE1954" w14:textId="778B4FC5" w:rsidR="00783731" w:rsidRPr="00816C79" w:rsidRDefault="00C117D6" w:rsidP="00783731">
            <w:pPr>
              <w:rPr>
                <w:color w:val="000000"/>
                <w:sz w:val="20"/>
                <w:szCs w:val="20"/>
              </w:rPr>
            </w:pPr>
            <w:r w:rsidRPr="00816C79">
              <w:rPr>
                <w:color w:val="000000"/>
                <w:sz w:val="20"/>
                <w:szCs w:val="20"/>
              </w:rPr>
              <w:t>June 30</w:t>
            </w:r>
            <w:r w:rsidR="00783731" w:rsidRPr="00816C79">
              <w:rPr>
                <w:color w:val="000000"/>
                <w:sz w:val="20"/>
                <w:szCs w:val="20"/>
              </w:rPr>
              <w:t>, 2021</w:t>
            </w:r>
          </w:p>
        </w:tc>
        <w:tc>
          <w:tcPr>
            <w:tcW w:w="1331" w:type="dxa"/>
            <w:tcBorders>
              <w:top w:val="nil"/>
              <w:left w:val="nil"/>
              <w:bottom w:val="single" w:sz="4" w:space="0" w:color="auto"/>
              <w:right w:val="nil"/>
            </w:tcBorders>
            <w:shd w:val="clear" w:color="auto" w:fill="auto"/>
            <w:vAlign w:val="center"/>
            <w:hideMark/>
          </w:tcPr>
          <w:p w14:paraId="3B7E7EE9" w14:textId="01910609" w:rsidR="00783731" w:rsidRPr="00816C79" w:rsidRDefault="00783731" w:rsidP="00783731">
            <w:pPr>
              <w:rPr>
                <w:color w:val="000000"/>
                <w:sz w:val="20"/>
                <w:szCs w:val="20"/>
              </w:rPr>
            </w:pPr>
            <w:r w:rsidRPr="00816C79">
              <w:rPr>
                <w:color w:val="000000"/>
                <w:sz w:val="20"/>
                <w:szCs w:val="20"/>
              </w:rPr>
              <w:t xml:space="preserve"> $     409,084 </w:t>
            </w:r>
          </w:p>
        </w:tc>
        <w:tc>
          <w:tcPr>
            <w:tcW w:w="1164" w:type="dxa"/>
            <w:tcBorders>
              <w:top w:val="nil"/>
              <w:left w:val="nil"/>
              <w:bottom w:val="single" w:sz="4" w:space="0" w:color="auto"/>
              <w:right w:val="nil"/>
            </w:tcBorders>
            <w:shd w:val="clear" w:color="auto" w:fill="auto"/>
            <w:vAlign w:val="center"/>
            <w:hideMark/>
          </w:tcPr>
          <w:p w14:paraId="7ED790D9" w14:textId="33A14A1B" w:rsidR="00783731" w:rsidRPr="00816C79" w:rsidRDefault="00783731" w:rsidP="00783731">
            <w:pPr>
              <w:rPr>
                <w:color w:val="000000"/>
                <w:sz w:val="20"/>
                <w:szCs w:val="20"/>
              </w:rPr>
            </w:pPr>
            <w:r w:rsidRPr="00816C79">
              <w:rPr>
                <w:color w:val="000000"/>
                <w:sz w:val="20"/>
                <w:szCs w:val="20"/>
              </w:rPr>
              <w:t xml:space="preserve"> $  246,893 </w:t>
            </w:r>
          </w:p>
        </w:tc>
        <w:tc>
          <w:tcPr>
            <w:tcW w:w="1164" w:type="dxa"/>
            <w:tcBorders>
              <w:top w:val="nil"/>
              <w:left w:val="nil"/>
              <w:bottom w:val="single" w:sz="4" w:space="0" w:color="auto"/>
              <w:right w:val="nil"/>
            </w:tcBorders>
            <w:shd w:val="clear" w:color="auto" w:fill="auto"/>
            <w:vAlign w:val="center"/>
            <w:hideMark/>
          </w:tcPr>
          <w:p w14:paraId="2EDCDDBA" w14:textId="4DA4C88C" w:rsidR="00783731" w:rsidRPr="00816C79" w:rsidRDefault="00783731" w:rsidP="00783731">
            <w:pPr>
              <w:rPr>
                <w:color w:val="000000"/>
                <w:sz w:val="20"/>
                <w:szCs w:val="20"/>
              </w:rPr>
            </w:pPr>
            <w:r w:rsidRPr="00816C79">
              <w:rPr>
                <w:color w:val="000000"/>
                <w:sz w:val="20"/>
                <w:szCs w:val="20"/>
              </w:rPr>
              <w:t xml:space="preserve"> $    60,000 </w:t>
            </w:r>
          </w:p>
        </w:tc>
        <w:tc>
          <w:tcPr>
            <w:tcW w:w="1138" w:type="dxa"/>
            <w:tcBorders>
              <w:top w:val="nil"/>
              <w:left w:val="nil"/>
              <w:bottom w:val="single" w:sz="4" w:space="0" w:color="auto"/>
              <w:right w:val="nil"/>
            </w:tcBorders>
            <w:shd w:val="clear" w:color="auto" w:fill="auto"/>
            <w:vAlign w:val="center"/>
            <w:hideMark/>
          </w:tcPr>
          <w:p w14:paraId="6A32FD03" w14:textId="77777777" w:rsidR="00783731" w:rsidRPr="00816C79" w:rsidRDefault="00783731" w:rsidP="00783731">
            <w:pPr>
              <w:rPr>
                <w:color w:val="000000"/>
                <w:sz w:val="20"/>
                <w:szCs w:val="20"/>
              </w:rPr>
            </w:pPr>
            <w:r w:rsidRPr="00816C79">
              <w:rPr>
                <w:color w:val="000000"/>
                <w:sz w:val="20"/>
                <w:szCs w:val="20"/>
              </w:rPr>
              <w:t xml:space="preserve"> $  17,567 </w:t>
            </w:r>
          </w:p>
        </w:tc>
        <w:tc>
          <w:tcPr>
            <w:tcW w:w="1298" w:type="dxa"/>
            <w:tcBorders>
              <w:top w:val="nil"/>
              <w:left w:val="nil"/>
              <w:bottom w:val="single" w:sz="4" w:space="0" w:color="auto"/>
              <w:right w:val="nil"/>
            </w:tcBorders>
            <w:shd w:val="clear" w:color="auto" w:fill="auto"/>
            <w:vAlign w:val="center"/>
            <w:hideMark/>
          </w:tcPr>
          <w:p w14:paraId="41215121" w14:textId="2CC58FE2" w:rsidR="00783731" w:rsidRPr="00816C79" w:rsidRDefault="00783731" w:rsidP="00783731">
            <w:pPr>
              <w:rPr>
                <w:color w:val="000000"/>
                <w:sz w:val="20"/>
                <w:szCs w:val="20"/>
              </w:rPr>
            </w:pPr>
            <w:r w:rsidRPr="00816C79">
              <w:rPr>
                <w:color w:val="000000"/>
                <w:sz w:val="20"/>
                <w:szCs w:val="20"/>
              </w:rPr>
              <w:t xml:space="preserve"> $   733,544 </w:t>
            </w:r>
          </w:p>
        </w:tc>
      </w:tr>
      <w:tr w:rsidR="00783731" w:rsidRPr="00816C79" w14:paraId="06E657B8" w14:textId="77777777" w:rsidTr="00866470">
        <w:trPr>
          <w:trHeight w:val="264"/>
        </w:trPr>
        <w:tc>
          <w:tcPr>
            <w:tcW w:w="2977" w:type="dxa"/>
            <w:tcBorders>
              <w:top w:val="nil"/>
              <w:left w:val="nil"/>
              <w:bottom w:val="nil"/>
              <w:right w:val="nil"/>
            </w:tcBorders>
            <w:shd w:val="clear" w:color="auto" w:fill="auto"/>
            <w:vAlign w:val="center"/>
            <w:hideMark/>
          </w:tcPr>
          <w:p w14:paraId="3E22C10D" w14:textId="77777777" w:rsidR="00783731" w:rsidRPr="00816C79" w:rsidRDefault="00783731" w:rsidP="00783731">
            <w:pPr>
              <w:rPr>
                <w:color w:val="000000"/>
                <w:sz w:val="20"/>
                <w:szCs w:val="20"/>
              </w:rPr>
            </w:pPr>
          </w:p>
        </w:tc>
        <w:tc>
          <w:tcPr>
            <w:tcW w:w="1331" w:type="dxa"/>
            <w:tcBorders>
              <w:top w:val="nil"/>
              <w:left w:val="nil"/>
              <w:bottom w:val="nil"/>
              <w:right w:val="nil"/>
            </w:tcBorders>
            <w:shd w:val="clear" w:color="auto" w:fill="auto"/>
            <w:vAlign w:val="center"/>
            <w:hideMark/>
          </w:tcPr>
          <w:p w14:paraId="5654F2DA" w14:textId="77777777" w:rsidR="00783731" w:rsidRPr="00816C79" w:rsidRDefault="00783731" w:rsidP="00783731">
            <w:pPr>
              <w:outlineLvl w:val="0"/>
              <w:rPr>
                <w:sz w:val="20"/>
                <w:szCs w:val="20"/>
              </w:rPr>
            </w:pPr>
          </w:p>
        </w:tc>
        <w:tc>
          <w:tcPr>
            <w:tcW w:w="1164" w:type="dxa"/>
            <w:tcBorders>
              <w:top w:val="nil"/>
              <w:left w:val="nil"/>
              <w:bottom w:val="nil"/>
              <w:right w:val="nil"/>
            </w:tcBorders>
            <w:shd w:val="clear" w:color="auto" w:fill="auto"/>
            <w:vAlign w:val="center"/>
            <w:hideMark/>
          </w:tcPr>
          <w:p w14:paraId="13F57AF3" w14:textId="77777777" w:rsidR="00783731" w:rsidRPr="00816C79" w:rsidRDefault="00783731" w:rsidP="00783731">
            <w:pPr>
              <w:outlineLvl w:val="0"/>
              <w:rPr>
                <w:sz w:val="20"/>
                <w:szCs w:val="20"/>
              </w:rPr>
            </w:pPr>
          </w:p>
        </w:tc>
        <w:tc>
          <w:tcPr>
            <w:tcW w:w="1164" w:type="dxa"/>
            <w:tcBorders>
              <w:top w:val="nil"/>
              <w:left w:val="nil"/>
              <w:bottom w:val="nil"/>
              <w:right w:val="nil"/>
            </w:tcBorders>
            <w:shd w:val="clear" w:color="auto" w:fill="auto"/>
            <w:vAlign w:val="center"/>
            <w:hideMark/>
          </w:tcPr>
          <w:p w14:paraId="4B7A8961" w14:textId="77777777" w:rsidR="00783731" w:rsidRPr="00816C79" w:rsidRDefault="00783731" w:rsidP="00783731">
            <w:pPr>
              <w:outlineLvl w:val="0"/>
              <w:rPr>
                <w:sz w:val="20"/>
                <w:szCs w:val="20"/>
              </w:rPr>
            </w:pPr>
          </w:p>
        </w:tc>
        <w:tc>
          <w:tcPr>
            <w:tcW w:w="1138" w:type="dxa"/>
            <w:tcBorders>
              <w:top w:val="nil"/>
              <w:left w:val="nil"/>
              <w:bottom w:val="nil"/>
              <w:right w:val="nil"/>
            </w:tcBorders>
            <w:shd w:val="clear" w:color="auto" w:fill="auto"/>
            <w:vAlign w:val="center"/>
            <w:hideMark/>
          </w:tcPr>
          <w:p w14:paraId="36F5248E" w14:textId="77777777" w:rsidR="00783731" w:rsidRPr="00816C79" w:rsidRDefault="00783731" w:rsidP="00783731">
            <w:pPr>
              <w:outlineLvl w:val="0"/>
              <w:rPr>
                <w:sz w:val="20"/>
                <w:szCs w:val="20"/>
              </w:rPr>
            </w:pPr>
          </w:p>
        </w:tc>
        <w:tc>
          <w:tcPr>
            <w:tcW w:w="1298" w:type="dxa"/>
            <w:tcBorders>
              <w:top w:val="nil"/>
              <w:left w:val="nil"/>
              <w:bottom w:val="nil"/>
              <w:right w:val="nil"/>
            </w:tcBorders>
            <w:shd w:val="clear" w:color="auto" w:fill="auto"/>
            <w:vAlign w:val="center"/>
            <w:hideMark/>
          </w:tcPr>
          <w:p w14:paraId="75883F03" w14:textId="77777777" w:rsidR="00783731" w:rsidRPr="00816C79" w:rsidRDefault="00783731" w:rsidP="00783731">
            <w:pPr>
              <w:outlineLvl w:val="0"/>
              <w:rPr>
                <w:sz w:val="20"/>
                <w:szCs w:val="20"/>
              </w:rPr>
            </w:pPr>
          </w:p>
        </w:tc>
      </w:tr>
      <w:tr w:rsidR="00783731" w:rsidRPr="00816C79" w14:paraId="3049BC68" w14:textId="77777777" w:rsidTr="00866470">
        <w:trPr>
          <w:trHeight w:val="264"/>
        </w:trPr>
        <w:tc>
          <w:tcPr>
            <w:tcW w:w="2977" w:type="dxa"/>
            <w:tcBorders>
              <w:top w:val="nil"/>
              <w:left w:val="nil"/>
              <w:bottom w:val="nil"/>
              <w:right w:val="nil"/>
            </w:tcBorders>
            <w:shd w:val="clear" w:color="auto" w:fill="auto"/>
            <w:vAlign w:val="center"/>
            <w:hideMark/>
          </w:tcPr>
          <w:p w14:paraId="4DBFEA9C" w14:textId="77777777" w:rsidR="00783731" w:rsidRPr="00816C79" w:rsidRDefault="00783731" w:rsidP="00783731">
            <w:pPr>
              <w:rPr>
                <w:b/>
                <w:bCs/>
                <w:color w:val="000000"/>
                <w:sz w:val="20"/>
                <w:szCs w:val="20"/>
              </w:rPr>
            </w:pPr>
            <w:r w:rsidRPr="00816C79">
              <w:rPr>
                <w:b/>
                <w:bCs/>
                <w:color w:val="000000"/>
                <w:sz w:val="20"/>
                <w:szCs w:val="20"/>
              </w:rPr>
              <w:t>Accumulated Amortization</w:t>
            </w:r>
          </w:p>
        </w:tc>
        <w:tc>
          <w:tcPr>
            <w:tcW w:w="1331" w:type="dxa"/>
            <w:tcBorders>
              <w:top w:val="nil"/>
              <w:left w:val="nil"/>
              <w:bottom w:val="nil"/>
              <w:right w:val="nil"/>
            </w:tcBorders>
            <w:shd w:val="clear" w:color="auto" w:fill="auto"/>
            <w:vAlign w:val="center"/>
            <w:hideMark/>
          </w:tcPr>
          <w:p w14:paraId="5698486C" w14:textId="77777777" w:rsidR="00783731" w:rsidRPr="00816C79" w:rsidRDefault="00783731" w:rsidP="00783731">
            <w:pPr>
              <w:rPr>
                <w:b/>
                <w:bCs/>
                <w:color w:val="000000"/>
                <w:sz w:val="20"/>
                <w:szCs w:val="20"/>
              </w:rPr>
            </w:pPr>
          </w:p>
        </w:tc>
        <w:tc>
          <w:tcPr>
            <w:tcW w:w="1164" w:type="dxa"/>
            <w:tcBorders>
              <w:top w:val="nil"/>
              <w:left w:val="nil"/>
              <w:bottom w:val="nil"/>
              <w:right w:val="nil"/>
            </w:tcBorders>
            <w:shd w:val="clear" w:color="auto" w:fill="auto"/>
            <w:vAlign w:val="center"/>
            <w:hideMark/>
          </w:tcPr>
          <w:p w14:paraId="2B1F4AB3"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6A818B58"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vAlign w:val="center"/>
            <w:hideMark/>
          </w:tcPr>
          <w:p w14:paraId="06CB9267"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vAlign w:val="center"/>
            <w:hideMark/>
          </w:tcPr>
          <w:p w14:paraId="4ABC2E51" w14:textId="77777777" w:rsidR="00783731" w:rsidRPr="00816C79" w:rsidRDefault="00783731" w:rsidP="00783731">
            <w:pPr>
              <w:rPr>
                <w:sz w:val="20"/>
                <w:szCs w:val="20"/>
              </w:rPr>
            </w:pPr>
          </w:p>
        </w:tc>
      </w:tr>
      <w:tr w:rsidR="00783731" w:rsidRPr="00816C79" w14:paraId="59C6469A" w14:textId="77777777" w:rsidTr="00866470">
        <w:trPr>
          <w:trHeight w:val="288"/>
        </w:trPr>
        <w:tc>
          <w:tcPr>
            <w:tcW w:w="2977" w:type="dxa"/>
            <w:tcBorders>
              <w:top w:val="nil"/>
              <w:left w:val="nil"/>
              <w:bottom w:val="nil"/>
              <w:right w:val="nil"/>
            </w:tcBorders>
            <w:shd w:val="clear" w:color="auto" w:fill="auto"/>
            <w:vAlign w:val="center"/>
            <w:hideMark/>
          </w:tcPr>
          <w:p w14:paraId="17CDB99A" w14:textId="77777777" w:rsidR="00783731" w:rsidRPr="00816C79" w:rsidRDefault="00783731" w:rsidP="00783731">
            <w:pPr>
              <w:rPr>
                <w:color w:val="000000"/>
                <w:sz w:val="20"/>
                <w:szCs w:val="20"/>
              </w:rPr>
            </w:pPr>
            <w:r w:rsidRPr="00816C79">
              <w:rPr>
                <w:color w:val="000000"/>
                <w:sz w:val="20"/>
                <w:szCs w:val="20"/>
              </w:rPr>
              <w:t>December 31, 2019</w:t>
            </w:r>
          </w:p>
        </w:tc>
        <w:tc>
          <w:tcPr>
            <w:tcW w:w="1331" w:type="dxa"/>
            <w:tcBorders>
              <w:top w:val="nil"/>
              <w:left w:val="nil"/>
              <w:bottom w:val="nil"/>
              <w:right w:val="nil"/>
            </w:tcBorders>
            <w:shd w:val="clear" w:color="auto" w:fill="auto"/>
            <w:vAlign w:val="center"/>
            <w:hideMark/>
          </w:tcPr>
          <w:p w14:paraId="4A55F7ED" w14:textId="537B0F02" w:rsidR="00783731" w:rsidRPr="00816C79" w:rsidRDefault="00783731" w:rsidP="00783731">
            <w:pPr>
              <w:rPr>
                <w:color w:val="000000"/>
                <w:sz w:val="20"/>
                <w:szCs w:val="20"/>
              </w:rPr>
            </w:pPr>
            <w:r w:rsidRPr="00816C79">
              <w:rPr>
                <w:color w:val="000000"/>
                <w:sz w:val="20"/>
                <w:szCs w:val="20"/>
              </w:rPr>
              <w:t xml:space="preserve"> $       30,681 </w:t>
            </w:r>
          </w:p>
        </w:tc>
        <w:tc>
          <w:tcPr>
            <w:tcW w:w="1164" w:type="dxa"/>
            <w:tcBorders>
              <w:top w:val="nil"/>
              <w:left w:val="nil"/>
              <w:bottom w:val="nil"/>
              <w:right w:val="nil"/>
            </w:tcBorders>
            <w:shd w:val="clear" w:color="auto" w:fill="auto"/>
            <w:vAlign w:val="center"/>
            <w:hideMark/>
          </w:tcPr>
          <w:p w14:paraId="5F1514AA" w14:textId="32FBA28F" w:rsidR="00783731" w:rsidRPr="00816C79" w:rsidRDefault="00783731" w:rsidP="00783731">
            <w:pPr>
              <w:rPr>
                <w:color w:val="000000"/>
                <w:sz w:val="20"/>
                <w:szCs w:val="20"/>
              </w:rPr>
            </w:pPr>
            <w:r w:rsidRPr="00816C79">
              <w:rPr>
                <w:color w:val="000000"/>
                <w:sz w:val="20"/>
                <w:szCs w:val="20"/>
              </w:rPr>
              <w:t xml:space="preserve"> $    10,287 </w:t>
            </w:r>
          </w:p>
        </w:tc>
        <w:tc>
          <w:tcPr>
            <w:tcW w:w="1164" w:type="dxa"/>
            <w:tcBorders>
              <w:top w:val="nil"/>
              <w:left w:val="nil"/>
              <w:bottom w:val="nil"/>
              <w:right w:val="nil"/>
            </w:tcBorders>
            <w:shd w:val="clear" w:color="auto" w:fill="auto"/>
            <w:vAlign w:val="center"/>
            <w:hideMark/>
          </w:tcPr>
          <w:p w14:paraId="46C6A83B" w14:textId="7A9811D3" w:rsidR="00783731" w:rsidRPr="00816C79" w:rsidRDefault="00783731" w:rsidP="00783731">
            <w:pPr>
              <w:rPr>
                <w:color w:val="000000"/>
                <w:sz w:val="20"/>
                <w:szCs w:val="20"/>
              </w:rPr>
            </w:pPr>
            <w:r w:rsidRPr="00816C79">
              <w:rPr>
                <w:color w:val="000000"/>
                <w:sz w:val="20"/>
                <w:szCs w:val="20"/>
              </w:rPr>
              <w:t xml:space="preserve"> $             -   </w:t>
            </w:r>
          </w:p>
        </w:tc>
        <w:tc>
          <w:tcPr>
            <w:tcW w:w="1138" w:type="dxa"/>
            <w:tcBorders>
              <w:top w:val="nil"/>
              <w:left w:val="nil"/>
              <w:bottom w:val="nil"/>
              <w:right w:val="nil"/>
            </w:tcBorders>
            <w:shd w:val="clear" w:color="auto" w:fill="auto"/>
            <w:vAlign w:val="center"/>
            <w:hideMark/>
          </w:tcPr>
          <w:p w14:paraId="4E30BD8B" w14:textId="77777777" w:rsidR="00783731" w:rsidRPr="00816C79" w:rsidRDefault="00783731" w:rsidP="00783731">
            <w:pPr>
              <w:rPr>
                <w:color w:val="000000"/>
                <w:sz w:val="20"/>
                <w:szCs w:val="20"/>
              </w:rPr>
            </w:pPr>
            <w:r w:rsidRPr="00816C79">
              <w:rPr>
                <w:color w:val="000000"/>
                <w:sz w:val="20"/>
                <w:szCs w:val="20"/>
              </w:rPr>
              <w:t xml:space="preserve"> $           -   </w:t>
            </w:r>
          </w:p>
        </w:tc>
        <w:tc>
          <w:tcPr>
            <w:tcW w:w="1298" w:type="dxa"/>
            <w:tcBorders>
              <w:top w:val="nil"/>
              <w:left w:val="nil"/>
              <w:bottom w:val="nil"/>
              <w:right w:val="nil"/>
            </w:tcBorders>
            <w:shd w:val="clear" w:color="auto" w:fill="auto"/>
            <w:vAlign w:val="center"/>
            <w:hideMark/>
          </w:tcPr>
          <w:p w14:paraId="3EE45CBB" w14:textId="6E33AB42" w:rsidR="00783731" w:rsidRPr="00816C79" w:rsidRDefault="00783731" w:rsidP="00783731">
            <w:pPr>
              <w:rPr>
                <w:color w:val="000000"/>
                <w:sz w:val="20"/>
                <w:szCs w:val="20"/>
              </w:rPr>
            </w:pPr>
            <w:r w:rsidRPr="00816C79">
              <w:rPr>
                <w:color w:val="000000"/>
                <w:sz w:val="20"/>
                <w:szCs w:val="20"/>
              </w:rPr>
              <w:t xml:space="preserve"> $       40,968 </w:t>
            </w:r>
          </w:p>
        </w:tc>
      </w:tr>
      <w:tr w:rsidR="00783731" w:rsidRPr="00816C79" w14:paraId="465CE2F4" w14:textId="77777777" w:rsidTr="00866470">
        <w:trPr>
          <w:trHeight w:val="288"/>
        </w:trPr>
        <w:tc>
          <w:tcPr>
            <w:tcW w:w="2977" w:type="dxa"/>
            <w:tcBorders>
              <w:top w:val="nil"/>
              <w:left w:val="nil"/>
              <w:bottom w:val="single" w:sz="4" w:space="0" w:color="auto"/>
              <w:right w:val="nil"/>
            </w:tcBorders>
            <w:shd w:val="clear" w:color="auto" w:fill="auto"/>
            <w:vAlign w:val="center"/>
            <w:hideMark/>
          </w:tcPr>
          <w:p w14:paraId="268F6587" w14:textId="77777777" w:rsidR="00783731" w:rsidRPr="00816C79" w:rsidRDefault="00783731" w:rsidP="00783731">
            <w:pPr>
              <w:ind w:firstLineChars="100" w:firstLine="200"/>
              <w:rPr>
                <w:color w:val="000000"/>
                <w:sz w:val="20"/>
                <w:szCs w:val="20"/>
              </w:rPr>
            </w:pPr>
            <w:r w:rsidRPr="00816C79">
              <w:rPr>
                <w:color w:val="000000"/>
                <w:sz w:val="20"/>
                <w:szCs w:val="20"/>
              </w:rPr>
              <w:t>Amortization</w:t>
            </w:r>
          </w:p>
        </w:tc>
        <w:tc>
          <w:tcPr>
            <w:tcW w:w="1331" w:type="dxa"/>
            <w:tcBorders>
              <w:top w:val="nil"/>
              <w:left w:val="nil"/>
              <w:bottom w:val="single" w:sz="4" w:space="0" w:color="auto"/>
              <w:right w:val="nil"/>
            </w:tcBorders>
            <w:shd w:val="clear" w:color="auto" w:fill="auto"/>
            <w:vAlign w:val="center"/>
            <w:hideMark/>
          </w:tcPr>
          <w:p w14:paraId="6636AEE1" w14:textId="48196155" w:rsidR="00783731" w:rsidRPr="00816C79" w:rsidRDefault="00783731" w:rsidP="00783731">
            <w:pPr>
              <w:rPr>
                <w:color w:val="000000"/>
                <w:sz w:val="20"/>
                <w:szCs w:val="20"/>
              </w:rPr>
            </w:pPr>
            <w:r w:rsidRPr="00816C79">
              <w:rPr>
                <w:color w:val="000000"/>
                <w:sz w:val="20"/>
                <w:szCs w:val="20"/>
              </w:rPr>
              <w:t xml:space="preserve">          40,908 </w:t>
            </w:r>
          </w:p>
        </w:tc>
        <w:tc>
          <w:tcPr>
            <w:tcW w:w="1164" w:type="dxa"/>
            <w:tcBorders>
              <w:top w:val="nil"/>
              <w:left w:val="nil"/>
              <w:bottom w:val="single" w:sz="4" w:space="0" w:color="auto"/>
              <w:right w:val="nil"/>
            </w:tcBorders>
            <w:shd w:val="clear" w:color="auto" w:fill="auto"/>
            <w:vAlign w:val="center"/>
            <w:hideMark/>
          </w:tcPr>
          <w:p w14:paraId="5ADFC87A" w14:textId="7DB29C0C" w:rsidR="00783731" w:rsidRPr="00816C79" w:rsidRDefault="00783731" w:rsidP="00783731">
            <w:pPr>
              <w:rPr>
                <w:color w:val="000000"/>
                <w:sz w:val="20"/>
                <w:szCs w:val="20"/>
              </w:rPr>
            </w:pPr>
            <w:r w:rsidRPr="00816C79">
              <w:rPr>
                <w:color w:val="000000"/>
                <w:sz w:val="20"/>
                <w:szCs w:val="20"/>
              </w:rPr>
              <w:t xml:space="preserve">       24,689 </w:t>
            </w:r>
          </w:p>
        </w:tc>
        <w:tc>
          <w:tcPr>
            <w:tcW w:w="1164" w:type="dxa"/>
            <w:tcBorders>
              <w:top w:val="nil"/>
              <w:left w:val="nil"/>
              <w:bottom w:val="single" w:sz="4" w:space="0" w:color="auto"/>
              <w:right w:val="nil"/>
            </w:tcBorders>
            <w:shd w:val="clear" w:color="auto" w:fill="auto"/>
            <w:vAlign w:val="center"/>
            <w:hideMark/>
          </w:tcPr>
          <w:p w14:paraId="561AC8E2" w14:textId="18D3500C" w:rsidR="00783731" w:rsidRPr="00816C79" w:rsidRDefault="00783731" w:rsidP="00783731">
            <w:pPr>
              <w:rPr>
                <w:color w:val="000000"/>
                <w:sz w:val="20"/>
                <w:szCs w:val="20"/>
              </w:rPr>
            </w:pPr>
            <w:r w:rsidRPr="00816C79">
              <w:rPr>
                <w:color w:val="000000"/>
                <w:sz w:val="20"/>
                <w:szCs w:val="20"/>
              </w:rPr>
              <w:t xml:space="preserve">                -   </w:t>
            </w:r>
          </w:p>
        </w:tc>
        <w:tc>
          <w:tcPr>
            <w:tcW w:w="1138" w:type="dxa"/>
            <w:tcBorders>
              <w:top w:val="nil"/>
              <w:left w:val="nil"/>
              <w:bottom w:val="single" w:sz="4" w:space="0" w:color="auto"/>
              <w:right w:val="nil"/>
            </w:tcBorders>
            <w:shd w:val="clear" w:color="auto" w:fill="auto"/>
            <w:vAlign w:val="center"/>
            <w:hideMark/>
          </w:tcPr>
          <w:p w14:paraId="5C997AC3" w14:textId="77777777" w:rsidR="00783731" w:rsidRPr="00816C79" w:rsidRDefault="00783731" w:rsidP="00783731">
            <w:pPr>
              <w:rPr>
                <w:color w:val="000000"/>
                <w:sz w:val="20"/>
                <w:szCs w:val="20"/>
              </w:rPr>
            </w:pPr>
            <w:r w:rsidRPr="00816C79">
              <w:rPr>
                <w:color w:val="000000"/>
                <w:sz w:val="20"/>
                <w:szCs w:val="20"/>
              </w:rPr>
              <w:t xml:space="preserve">              -   </w:t>
            </w:r>
          </w:p>
        </w:tc>
        <w:tc>
          <w:tcPr>
            <w:tcW w:w="1298" w:type="dxa"/>
            <w:tcBorders>
              <w:top w:val="nil"/>
              <w:left w:val="nil"/>
              <w:bottom w:val="single" w:sz="4" w:space="0" w:color="auto"/>
              <w:right w:val="nil"/>
            </w:tcBorders>
            <w:shd w:val="clear" w:color="auto" w:fill="auto"/>
            <w:vAlign w:val="center"/>
            <w:hideMark/>
          </w:tcPr>
          <w:p w14:paraId="070783EE" w14:textId="4F3E01AE" w:rsidR="00783731" w:rsidRPr="00816C79" w:rsidRDefault="00783731" w:rsidP="00783731">
            <w:pPr>
              <w:rPr>
                <w:color w:val="000000"/>
                <w:sz w:val="20"/>
                <w:szCs w:val="20"/>
              </w:rPr>
            </w:pPr>
            <w:r w:rsidRPr="00816C79">
              <w:rPr>
                <w:color w:val="000000"/>
                <w:sz w:val="20"/>
                <w:szCs w:val="20"/>
              </w:rPr>
              <w:t xml:space="preserve">          65,597 </w:t>
            </w:r>
          </w:p>
        </w:tc>
      </w:tr>
      <w:tr w:rsidR="00783731" w:rsidRPr="00816C79" w14:paraId="5F150EEA" w14:textId="77777777" w:rsidTr="00866470">
        <w:trPr>
          <w:trHeight w:val="264"/>
        </w:trPr>
        <w:tc>
          <w:tcPr>
            <w:tcW w:w="2977" w:type="dxa"/>
            <w:tcBorders>
              <w:top w:val="nil"/>
              <w:left w:val="nil"/>
              <w:bottom w:val="nil"/>
              <w:right w:val="nil"/>
            </w:tcBorders>
            <w:shd w:val="clear" w:color="auto" w:fill="auto"/>
            <w:vAlign w:val="center"/>
            <w:hideMark/>
          </w:tcPr>
          <w:p w14:paraId="747B8BE5" w14:textId="77777777" w:rsidR="00783731" w:rsidRPr="00816C79" w:rsidRDefault="00783731" w:rsidP="00783731">
            <w:pPr>
              <w:rPr>
                <w:color w:val="000000"/>
                <w:sz w:val="20"/>
                <w:szCs w:val="20"/>
              </w:rPr>
            </w:pPr>
          </w:p>
        </w:tc>
        <w:tc>
          <w:tcPr>
            <w:tcW w:w="1331" w:type="dxa"/>
            <w:tcBorders>
              <w:top w:val="nil"/>
              <w:left w:val="nil"/>
              <w:bottom w:val="nil"/>
              <w:right w:val="nil"/>
            </w:tcBorders>
            <w:shd w:val="clear" w:color="auto" w:fill="auto"/>
            <w:vAlign w:val="center"/>
            <w:hideMark/>
          </w:tcPr>
          <w:p w14:paraId="42B2C78D" w14:textId="77777777" w:rsidR="00783731" w:rsidRPr="00816C79" w:rsidRDefault="00783731" w:rsidP="00783731">
            <w:pPr>
              <w:ind w:firstLineChars="100" w:firstLine="200"/>
              <w:rPr>
                <w:sz w:val="20"/>
                <w:szCs w:val="20"/>
              </w:rPr>
            </w:pPr>
          </w:p>
        </w:tc>
        <w:tc>
          <w:tcPr>
            <w:tcW w:w="1164" w:type="dxa"/>
            <w:tcBorders>
              <w:top w:val="nil"/>
              <w:left w:val="nil"/>
              <w:bottom w:val="nil"/>
              <w:right w:val="nil"/>
            </w:tcBorders>
            <w:shd w:val="clear" w:color="auto" w:fill="auto"/>
            <w:vAlign w:val="center"/>
            <w:hideMark/>
          </w:tcPr>
          <w:p w14:paraId="5F9E53B2"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57FDCDF2"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vAlign w:val="center"/>
            <w:hideMark/>
          </w:tcPr>
          <w:p w14:paraId="3ED2A78A"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vAlign w:val="center"/>
            <w:hideMark/>
          </w:tcPr>
          <w:p w14:paraId="32721ED1" w14:textId="77777777" w:rsidR="00783731" w:rsidRPr="00816C79" w:rsidRDefault="00783731" w:rsidP="00783731">
            <w:pPr>
              <w:rPr>
                <w:sz w:val="20"/>
                <w:szCs w:val="20"/>
              </w:rPr>
            </w:pPr>
          </w:p>
        </w:tc>
      </w:tr>
      <w:tr w:rsidR="00783731" w:rsidRPr="00816C79" w14:paraId="3718DD4C" w14:textId="77777777" w:rsidTr="00866470">
        <w:trPr>
          <w:trHeight w:val="288"/>
        </w:trPr>
        <w:tc>
          <w:tcPr>
            <w:tcW w:w="2977" w:type="dxa"/>
            <w:tcBorders>
              <w:top w:val="nil"/>
              <w:left w:val="nil"/>
              <w:bottom w:val="nil"/>
              <w:right w:val="nil"/>
            </w:tcBorders>
            <w:shd w:val="clear" w:color="auto" w:fill="auto"/>
            <w:vAlign w:val="center"/>
            <w:hideMark/>
          </w:tcPr>
          <w:p w14:paraId="45EA22CA" w14:textId="77777777" w:rsidR="00783731" w:rsidRPr="00816C79" w:rsidRDefault="00783731" w:rsidP="00783731">
            <w:pPr>
              <w:rPr>
                <w:color w:val="000000"/>
                <w:sz w:val="20"/>
                <w:szCs w:val="20"/>
              </w:rPr>
            </w:pPr>
            <w:r w:rsidRPr="00816C79">
              <w:rPr>
                <w:color w:val="000000"/>
                <w:sz w:val="20"/>
                <w:szCs w:val="20"/>
              </w:rPr>
              <w:t>December 31, 2020</w:t>
            </w:r>
          </w:p>
        </w:tc>
        <w:tc>
          <w:tcPr>
            <w:tcW w:w="1331" w:type="dxa"/>
            <w:tcBorders>
              <w:top w:val="nil"/>
              <w:left w:val="nil"/>
              <w:bottom w:val="nil"/>
              <w:right w:val="nil"/>
            </w:tcBorders>
            <w:shd w:val="clear" w:color="auto" w:fill="auto"/>
            <w:vAlign w:val="center"/>
            <w:hideMark/>
          </w:tcPr>
          <w:p w14:paraId="42457BEB" w14:textId="10B7E627" w:rsidR="00783731" w:rsidRPr="00816C79" w:rsidRDefault="00783731" w:rsidP="00783731">
            <w:pPr>
              <w:rPr>
                <w:color w:val="000000"/>
                <w:sz w:val="20"/>
                <w:szCs w:val="20"/>
              </w:rPr>
            </w:pPr>
            <w:r w:rsidRPr="00816C79">
              <w:rPr>
                <w:color w:val="000000"/>
                <w:sz w:val="20"/>
                <w:szCs w:val="20"/>
              </w:rPr>
              <w:t xml:space="preserve">          71,589 </w:t>
            </w:r>
          </w:p>
        </w:tc>
        <w:tc>
          <w:tcPr>
            <w:tcW w:w="1164" w:type="dxa"/>
            <w:tcBorders>
              <w:top w:val="nil"/>
              <w:left w:val="nil"/>
              <w:bottom w:val="nil"/>
              <w:right w:val="nil"/>
            </w:tcBorders>
            <w:shd w:val="clear" w:color="auto" w:fill="auto"/>
            <w:vAlign w:val="center"/>
            <w:hideMark/>
          </w:tcPr>
          <w:p w14:paraId="7EAFCCB8" w14:textId="336A6172" w:rsidR="00783731" w:rsidRPr="00816C79" w:rsidRDefault="00783731" w:rsidP="00783731">
            <w:pPr>
              <w:rPr>
                <w:color w:val="000000"/>
                <w:sz w:val="20"/>
                <w:szCs w:val="20"/>
              </w:rPr>
            </w:pPr>
            <w:r w:rsidRPr="00816C79">
              <w:rPr>
                <w:color w:val="000000"/>
                <w:sz w:val="20"/>
                <w:szCs w:val="20"/>
              </w:rPr>
              <w:t xml:space="preserve">       34,976 </w:t>
            </w:r>
          </w:p>
        </w:tc>
        <w:tc>
          <w:tcPr>
            <w:tcW w:w="1164" w:type="dxa"/>
            <w:tcBorders>
              <w:top w:val="nil"/>
              <w:left w:val="nil"/>
              <w:bottom w:val="nil"/>
              <w:right w:val="nil"/>
            </w:tcBorders>
            <w:shd w:val="clear" w:color="auto" w:fill="auto"/>
            <w:vAlign w:val="center"/>
            <w:hideMark/>
          </w:tcPr>
          <w:p w14:paraId="394DB3B1" w14:textId="2E290490" w:rsidR="00783731" w:rsidRPr="00816C79" w:rsidRDefault="00783731" w:rsidP="00783731">
            <w:pPr>
              <w:rPr>
                <w:color w:val="000000"/>
                <w:sz w:val="20"/>
                <w:szCs w:val="20"/>
              </w:rPr>
            </w:pPr>
            <w:r w:rsidRPr="00816C79">
              <w:rPr>
                <w:color w:val="000000"/>
                <w:sz w:val="20"/>
                <w:szCs w:val="20"/>
              </w:rPr>
              <w:t xml:space="preserve">                -   </w:t>
            </w:r>
          </w:p>
        </w:tc>
        <w:tc>
          <w:tcPr>
            <w:tcW w:w="1138" w:type="dxa"/>
            <w:tcBorders>
              <w:top w:val="nil"/>
              <w:left w:val="nil"/>
              <w:bottom w:val="nil"/>
              <w:right w:val="nil"/>
            </w:tcBorders>
            <w:shd w:val="clear" w:color="auto" w:fill="auto"/>
            <w:vAlign w:val="center"/>
            <w:hideMark/>
          </w:tcPr>
          <w:p w14:paraId="74F36916" w14:textId="77777777" w:rsidR="00783731" w:rsidRPr="00816C79" w:rsidRDefault="00783731" w:rsidP="00783731">
            <w:pPr>
              <w:rPr>
                <w:color w:val="000000"/>
                <w:sz w:val="20"/>
                <w:szCs w:val="20"/>
              </w:rPr>
            </w:pPr>
            <w:r w:rsidRPr="00816C79">
              <w:rPr>
                <w:color w:val="000000"/>
                <w:sz w:val="20"/>
                <w:szCs w:val="20"/>
              </w:rPr>
              <w:t xml:space="preserve">              -   </w:t>
            </w:r>
          </w:p>
        </w:tc>
        <w:tc>
          <w:tcPr>
            <w:tcW w:w="1298" w:type="dxa"/>
            <w:tcBorders>
              <w:top w:val="nil"/>
              <w:left w:val="nil"/>
              <w:bottom w:val="nil"/>
              <w:right w:val="nil"/>
            </w:tcBorders>
            <w:shd w:val="clear" w:color="auto" w:fill="auto"/>
            <w:vAlign w:val="center"/>
            <w:hideMark/>
          </w:tcPr>
          <w:p w14:paraId="39135E63" w14:textId="6F0B55F3" w:rsidR="00783731" w:rsidRPr="00816C79" w:rsidRDefault="00783731" w:rsidP="00783731">
            <w:pPr>
              <w:rPr>
                <w:color w:val="000000"/>
                <w:sz w:val="20"/>
                <w:szCs w:val="20"/>
              </w:rPr>
            </w:pPr>
            <w:r w:rsidRPr="00816C79">
              <w:rPr>
                <w:color w:val="000000"/>
                <w:sz w:val="20"/>
                <w:szCs w:val="20"/>
              </w:rPr>
              <w:t xml:space="preserve">        106,565 </w:t>
            </w:r>
          </w:p>
        </w:tc>
      </w:tr>
      <w:tr w:rsidR="00783731" w:rsidRPr="00816C79" w14:paraId="2E5A3F82" w14:textId="77777777" w:rsidTr="00866470">
        <w:trPr>
          <w:trHeight w:val="288"/>
        </w:trPr>
        <w:tc>
          <w:tcPr>
            <w:tcW w:w="2977" w:type="dxa"/>
            <w:tcBorders>
              <w:top w:val="nil"/>
              <w:left w:val="nil"/>
              <w:bottom w:val="single" w:sz="4" w:space="0" w:color="auto"/>
              <w:right w:val="nil"/>
            </w:tcBorders>
            <w:shd w:val="clear" w:color="auto" w:fill="auto"/>
            <w:vAlign w:val="center"/>
            <w:hideMark/>
          </w:tcPr>
          <w:p w14:paraId="4FEE8493" w14:textId="77777777" w:rsidR="00783731" w:rsidRPr="00816C79" w:rsidRDefault="00783731" w:rsidP="00783731">
            <w:pPr>
              <w:ind w:firstLineChars="100" w:firstLine="200"/>
              <w:rPr>
                <w:color w:val="000000"/>
                <w:sz w:val="20"/>
                <w:szCs w:val="20"/>
              </w:rPr>
            </w:pPr>
            <w:r w:rsidRPr="00816C79">
              <w:rPr>
                <w:color w:val="000000"/>
                <w:sz w:val="20"/>
                <w:szCs w:val="20"/>
              </w:rPr>
              <w:t>Amortization</w:t>
            </w:r>
          </w:p>
        </w:tc>
        <w:tc>
          <w:tcPr>
            <w:tcW w:w="1331" w:type="dxa"/>
            <w:tcBorders>
              <w:top w:val="nil"/>
              <w:left w:val="nil"/>
              <w:bottom w:val="single" w:sz="4" w:space="0" w:color="auto"/>
              <w:right w:val="nil"/>
            </w:tcBorders>
            <w:shd w:val="clear" w:color="auto" w:fill="auto"/>
            <w:vAlign w:val="center"/>
            <w:hideMark/>
          </w:tcPr>
          <w:p w14:paraId="0C60DEB0" w14:textId="433C7291" w:rsidR="00783731" w:rsidRPr="00816C79" w:rsidRDefault="00783731" w:rsidP="00783731">
            <w:pPr>
              <w:rPr>
                <w:color w:val="000000"/>
                <w:sz w:val="20"/>
                <w:szCs w:val="20"/>
              </w:rPr>
            </w:pPr>
            <w:r w:rsidRPr="00816C79">
              <w:rPr>
                <w:color w:val="000000"/>
                <w:sz w:val="20"/>
                <w:szCs w:val="20"/>
              </w:rPr>
              <w:t xml:space="preserve">          </w:t>
            </w:r>
            <w:r w:rsidR="00816C79" w:rsidRPr="00816C79">
              <w:rPr>
                <w:color w:val="000000"/>
                <w:sz w:val="20"/>
                <w:szCs w:val="20"/>
              </w:rPr>
              <w:t>20,455</w:t>
            </w:r>
            <w:r w:rsidRPr="00816C79">
              <w:rPr>
                <w:color w:val="000000"/>
                <w:sz w:val="20"/>
                <w:szCs w:val="20"/>
              </w:rPr>
              <w:t xml:space="preserve"> </w:t>
            </w:r>
          </w:p>
        </w:tc>
        <w:tc>
          <w:tcPr>
            <w:tcW w:w="1164" w:type="dxa"/>
            <w:tcBorders>
              <w:top w:val="nil"/>
              <w:left w:val="nil"/>
              <w:bottom w:val="single" w:sz="4" w:space="0" w:color="auto"/>
              <w:right w:val="nil"/>
            </w:tcBorders>
            <w:shd w:val="clear" w:color="auto" w:fill="auto"/>
            <w:vAlign w:val="center"/>
            <w:hideMark/>
          </w:tcPr>
          <w:p w14:paraId="7B4BACE6" w14:textId="13C6E92B" w:rsidR="00783731" w:rsidRPr="00816C79" w:rsidRDefault="00783731" w:rsidP="00783731">
            <w:pPr>
              <w:rPr>
                <w:color w:val="000000"/>
                <w:sz w:val="20"/>
                <w:szCs w:val="20"/>
              </w:rPr>
            </w:pPr>
            <w:r w:rsidRPr="00816C79">
              <w:rPr>
                <w:color w:val="000000"/>
                <w:sz w:val="20"/>
                <w:szCs w:val="20"/>
              </w:rPr>
              <w:t xml:space="preserve">       </w:t>
            </w:r>
            <w:r w:rsidR="00816C79" w:rsidRPr="00816C79">
              <w:rPr>
                <w:color w:val="000000"/>
                <w:sz w:val="20"/>
                <w:szCs w:val="20"/>
              </w:rPr>
              <w:t>12,346</w:t>
            </w:r>
            <w:r w:rsidRPr="00816C79">
              <w:rPr>
                <w:color w:val="000000"/>
                <w:sz w:val="20"/>
                <w:szCs w:val="20"/>
              </w:rPr>
              <w:t xml:space="preserve"> </w:t>
            </w:r>
          </w:p>
        </w:tc>
        <w:tc>
          <w:tcPr>
            <w:tcW w:w="1164" w:type="dxa"/>
            <w:tcBorders>
              <w:top w:val="nil"/>
              <w:left w:val="nil"/>
              <w:bottom w:val="single" w:sz="4" w:space="0" w:color="auto"/>
              <w:right w:val="nil"/>
            </w:tcBorders>
            <w:shd w:val="clear" w:color="auto" w:fill="auto"/>
            <w:vAlign w:val="center"/>
            <w:hideMark/>
          </w:tcPr>
          <w:p w14:paraId="2134DEC7" w14:textId="76A0CB38" w:rsidR="00783731" w:rsidRPr="00816C79" w:rsidRDefault="00783731" w:rsidP="00783731">
            <w:pPr>
              <w:rPr>
                <w:color w:val="000000"/>
                <w:sz w:val="20"/>
                <w:szCs w:val="20"/>
              </w:rPr>
            </w:pPr>
            <w:r w:rsidRPr="00816C79">
              <w:rPr>
                <w:color w:val="000000"/>
                <w:sz w:val="20"/>
                <w:szCs w:val="20"/>
              </w:rPr>
              <w:t xml:space="preserve">                -   </w:t>
            </w:r>
          </w:p>
        </w:tc>
        <w:tc>
          <w:tcPr>
            <w:tcW w:w="1138" w:type="dxa"/>
            <w:tcBorders>
              <w:top w:val="nil"/>
              <w:left w:val="nil"/>
              <w:bottom w:val="single" w:sz="4" w:space="0" w:color="auto"/>
              <w:right w:val="nil"/>
            </w:tcBorders>
            <w:shd w:val="clear" w:color="auto" w:fill="auto"/>
            <w:vAlign w:val="center"/>
            <w:hideMark/>
          </w:tcPr>
          <w:p w14:paraId="04534F70" w14:textId="77777777" w:rsidR="00783731" w:rsidRPr="00816C79" w:rsidRDefault="00783731" w:rsidP="00783731">
            <w:pPr>
              <w:rPr>
                <w:color w:val="000000"/>
                <w:sz w:val="20"/>
                <w:szCs w:val="20"/>
              </w:rPr>
            </w:pPr>
            <w:r w:rsidRPr="00816C79">
              <w:rPr>
                <w:color w:val="000000"/>
                <w:sz w:val="20"/>
                <w:szCs w:val="20"/>
              </w:rPr>
              <w:t xml:space="preserve">              -   </w:t>
            </w:r>
          </w:p>
        </w:tc>
        <w:tc>
          <w:tcPr>
            <w:tcW w:w="1298" w:type="dxa"/>
            <w:tcBorders>
              <w:top w:val="nil"/>
              <w:left w:val="nil"/>
              <w:bottom w:val="single" w:sz="4" w:space="0" w:color="auto"/>
              <w:right w:val="nil"/>
            </w:tcBorders>
            <w:shd w:val="clear" w:color="auto" w:fill="auto"/>
            <w:vAlign w:val="center"/>
            <w:hideMark/>
          </w:tcPr>
          <w:p w14:paraId="0B1B38AF" w14:textId="04698815" w:rsidR="00783731" w:rsidRPr="00816C79" w:rsidRDefault="00783731" w:rsidP="00783731">
            <w:pPr>
              <w:rPr>
                <w:color w:val="000000"/>
                <w:sz w:val="20"/>
                <w:szCs w:val="20"/>
              </w:rPr>
            </w:pPr>
            <w:r w:rsidRPr="00816C79">
              <w:rPr>
                <w:color w:val="000000"/>
                <w:sz w:val="20"/>
                <w:szCs w:val="20"/>
              </w:rPr>
              <w:t xml:space="preserve">          </w:t>
            </w:r>
            <w:r w:rsidR="00816C79" w:rsidRPr="00816C79">
              <w:rPr>
                <w:color w:val="000000"/>
                <w:sz w:val="20"/>
                <w:szCs w:val="20"/>
              </w:rPr>
              <w:t>32,801</w:t>
            </w:r>
            <w:r w:rsidRPr="00816C79">
              <w:rPr>
                <w:color w:val="000000"/>
                <w:sz w:val="20"/>
                <w:szCs w:val="20"/>
              </w:rPr>
              <w:t xml:space="preserve"> </w:t>
            </w:r>
          </w:p>
        </w:tc>
      </w:tr>
      <w:tr w:rsidR="00783731" w:rsidRPr="00816C79" w14:paraId="6B9EDE29" w14:textId="77777777" w:rsidTr="00866470">
        <w:trPr>
          <w:trHeight w:val="264"/>
        </w:trPr>
        <w:tc>
          <w:tcPr>
            <w:tcW w:w="2977" w:type="dxa"/>
            <w:tcBorders>
              <w:top w:val="nil"/>
              <w:left w:val="nil"/>
              <w:bottom w:val="nil"/>
              <w:right w:val="nil"/>
            </w:tcBorders>
            <w:shd w:val="clear" w:color="auto" w:fill="auto"/>
            <w:vAlign w:val="center"/>
            <w:hideMark/>
          </w:tcPr>
          <w:p w14:paraId="57431EF7" w14:textId="77777777" w:rsidR="00783731" w:rsidRPr="00816C79" w:rsidRDefault="00783731" w:rsidP="00783731">
            <w:pPr>
              <w:rPr>
                <w:color w:val="000000"/>
                <w:sz w:val="20"/>
                <w:szCs w:val="20"/>
              </w:rPr>
            </w:pPr>
          </w:p>
        </w:tc>
        <w:tc>
          <w:tcPr>
            <w:tcW w:w="1331" w:type="dxa"/>
            <w:tcBorders>
              <w:top w:val="nil"/>
              <w:left w:val="nil"/>
              <w:bottom w:val="nil"/>
              <w:right w:val="nil"/>
            </w:tcBorders>
            <w:shd w:val="clear" w:color="auto" w:fill="auto"/>
            <w:vAlign w:val="center"/>
            <w:hideMark/>
          </w:tcPr>
          <w:p w14:paraId="4507C12C"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558A8DD9"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3F70A801"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vAlign w:val="center"/>
            <w:hideMark/>
          </w:tcPr>
          <w:p w14:paraId="5FEA16F6"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vAlign w:val="center"/>
            <w:hideMark/>
          </w:tcPr>
          <w:p w14:paraId="327FCB16" w14:textId="77777777" w:rsidR="00783731" w:rsidRPr="00816C79" w:rsidRDefault="00783731" w:rsidP="00783731">
            <w:pPr>
              <w:rPr>
                <w:sz w:val="20"/>
                <w:szCs w:val="20"/>
              </w:rPr>
            </w:pPr>
          </w:p>
        </w:tc>
      </w:tr>
      <w:tr w:rsidR="00783731" w:rsidRPr="00816C79" w14:paraId="6E09D2A0" w14:textId="77777777" w:rsidTr="00866470">
        <w:trPr>
          <w:trHeight w:val="288"/>
        </w:trPr>
        <w:tc>
          <w:tcPr>
            <w:tcW w:w="2977" w:type="dxa"/>
            <w:tcBorders>
              <w:top w:val="nil"/>
              <w:left w:val="nil"/>
              <w:bottom w:val="single" w:sz="4" w:space="0" w:color="auto"/>
              <w:right w:val="nil"/>
            </w:tcBorders>
            <w:shd w:val="clear" w:color="auto" w:fill="auto"/>
            <w:vAlign w:val="center"/>
            <w:hideMark/>
          </w:tcPr>
          <w:p w14:paraId="48BDBC90" w14:textId="6FFA9024" w:rsidR="00783731" w:rsidRPr="00816C79" w:rsidRDefault="00C117D6" w:rsidP="00783731">
            <w:pPr>
              <w:rPr>
                <w:color w:val="000000"/>
                <w:sz w:val="20"/>
                <w:szCs w:val="20"/>
              </w:rPr>
            </w:pPr>
            <w:r w:rsidRPr="00816C79">
              <w:rPr>
                <w:color w:val="000000"/>
                <w:sz w:val="20"/>
                <w:szCs w:val="20"/>
              </w:rPr>
              <w:t>June 30</w:t>
            </w:r>
            <w:r w:rsidR="00783731" w:rsidRPr="00816C79">
              <w:rPr>
                <w:color w:val="000000"/>
                <w:sz w:val="20"/>
                <w:szCs w:val="20"/>
              </w:rPr>
              <w:t>, 2021</w:t>
            </w:r>
          </w:p>
        </w:tc>
        <w:tc>
          <w:tcPr>
            <w:tcW w:w="1331" w:type="dxa"/>
            <w:tcBorders>
              <w:top w:val="nil"/>
              <w:left w:val="nil"/>
              <w:bottom w:val="single" w:sz="4" w:space="0" w:color="auto"/>
              <w:right w:val="nil"/>
            </w:tcBorders>
            <w:shd w:val="clear" w:color="auto" w:fill="auto"/>
            <w:vAlign w:val="center"/>
            <w:hideMark/>
          </w:tcPr>
          <w:p w14:paraId="31F7A8EB" w14:textId="1BE0EBF8" w:rsidR="00783731" w:rsidRPr="00816C79" w:rsidRDefault="00783731" w:rsidP="00783731">
            <w:pPr>
              <w:rPr>
                <w:color w:val="000000"/>
                <w:sz w:val="20"/>
                <w:szCs w:val="20"/>
              </w:rPr>
            </w:pPr>
            <w:r w:rsidRPr="00816C79">
              <w:rPr>
                <w:color w:val="000000"/>
                <w:sz w:val="20"/>
                <w:szCs w:val="20"/>
              </w:rPr>
              <w:t xml:space="preserve"> $       </w:t>
            </w:r>
            <w:r w:rsidR="00816C79" w:rsidRPr="00816C79">
              <w:rPr>
                <w:color w:val="000000"/>
                <w:sz w:val="20"/>
                <w:szCs w:val="20"/>
              </w:rPr>
              <w:t>92,044</w:t>
            </w:r>
            <w:r w:rsidRPr="00816C79">
              <w:rPr>
                <w:color w:val="000000"/>
                <w:sz w:val="20"/>
                <w:szCs w:val="20"/>
              </w:rPr>
              <w:t xml:space="preserve"> </w:t>
            </w:r>
          </w:p>
        </w:tc>
        <w:tc>
          <w:tcPr>
            <w:tcW w:w="1164" w:type="dxa"/>
            <w:tcBorders>
              <w:top w:val="nil"/>
              <w:left w:val="nil"/>
              <w:bottom w:val="single" w:sz="4" w:space="0" w:color="auto"/>
              <w:right w:val="nil"/>
            </w:tcBorders>
            <w:shd w:val="clear" w:color="auto" w:fill="auto"/>
            <w:vAlign w:val="center"/>
            <w:hideMark/>
          </w:tcPr>
          <w:p w14:paraId="05181997" w14:textId="1FA61901" w:rsidR="00783731" w:rsidRPr="00816C79" w:rsidRDefault="00783731" w:rsidP="00783731">
            <w:pPr>
              <w:rPr>
                <w:color w:val="000000"/>
                <w:sz w:val="20"/>
                <w:szCs w:val="20"/>
              </w:rPr>
            </w:pPr>
            <w:r w:rsidRPr="00816C79">
              <w:rPr>
                <w:color w:val="000000"/>
                <w:sz w:val="20"/>
                <w:szCs w:val="20"/>
              </w:rPr>
              <w:t xml:space="preserve"> $    4</w:t>
            </w:r>
            <w:r w:rsidR="00816C79" w:rsidRPr="00816C79">
              <w:rPr>
                <w:color w:val="000000"/>
                <w:sz w:val="20"/>
                <w:szCs w:val="20"/>
              </w:rPr>
              <w:t>7,322</w:t>
            </w:r>
            <w:r w:rsidRPr="00816C79">
              <w:rPr>
                <w:color w:val="000000"/>
                <w:sz w:val="20"/>
                <w:szCs w:val="20"/>
              </w:rPr>
              <w:t xml:space="preserve"> </w:t>
            </w:r>
          </w:p>
        </w:tc>
        <w:tc>
          <w:tcPr>
            <w:tcW w:w="1164" w:type="dxa"/>
            <w:tcBorders>
              <w:top w:val="nil"/>
              <w:left w:val="nil"/>
              <w:bottom w:val="single" w:sz="4" w:space="0" w:color="auto"/>
              <w:right w:val="nil"/>
            </w:tcBorders>
            <w:shd w:val="clear" w:color="auto" w:fill="auto"/>
            <w:vAlign w:val="center"/>
            <w:hideMark/>
          </w:tcPr>
          <w:p w14:paraId="089A5DA5" w14:textId="69ADBD7A" w:rsidR="00783731" w:rsidRPr="00816C79" w:rsidRDefault="00783731" w:rsidP="00783731">
            <w:pPr>
              <w:rPr>
                <w:color w:val="000000"/>
                <w:sz w:val="20"/>
                <w:szCs w:val="20"/>
              </w:rPr>
            </w:pPr>
            <w:r w:rsidRPr="00816C79">
              <w:rPr>
                <w:color w:val="000000"/>
                <w:sz w:val="20"/>
                <w:szCs w:val="20"/>
              </w:rPr>
              <w:t xml:space="preserve"> $             -   </w:t>
            </w:r>
          </w:p>
        </w:tc>
        <w:tc>
          <w:tcPr>
            <w:tcW w:w="1138" w:type="dxa"/>
            <w:tcBorders>
              <w:top w:val="nil"/>
              <w:left w:val="nil"/>
              <w:bottom w:val="single" w:sz="4" w:space="0" w:color="auto"/>
              <w:right w:val="nil"/>
            </w:tcBorders>
            <w:shd w:val="clear" w:color="auto" w:fill="auto"/>
            <w:vAlign w:val="center"/>
            <w:hideMark/>
          </w:tcPr>
          <w:p w14:paraId="250747BA" w14:textId="77777777" w:rsidR="00783731" w:rsidRPr="00816C79" w:rsidRDefault="00783731" w:rsidP="00783731">
            <w:pPr>
              <w:rPr>
                <w:color w:val="000000"/>
                <w:sz w:val="20"/>
                <w:szCs w:val="20"/>
              </w:rPr>
            </w:pPr>
            <w:r w:rsidRPr="00816C79">
              <w:rPr>
                <w:color w:val="000000"/>
                <w:sz w:val="20"/>
                <w:szCs w:val="20"/>
              </w:rPr>
              <w:t xml:space="preserve"> $           -   </w:t>
            </w:r>
          </w:p>
        </w:tc>
        <w:tc>
          <w:tcPr>
            <w:tcW w:w="1298" w:type="dxa"/>
            <w:tcBorders>
              <w:top w:val="nil"/>
              <w:left w:val="nil"/>
              <w:bottom w:val="single" w:sz="4" w:space="0" w:color="auto"/>
              <w:right w:val="nil"/>
            </w:tcBorders>
            <w:shd w:val="clear" w:color="auto" w:fill="auto"/>
            <w:vAlign w:val="center"/>
            <w:hideMark/>
          </w:tcPr>
          <w:p w14:paraId="23577AAC" w14:textId="2BADD9A9" w:rsidR="00783731" w:rsidRPr="00816C79" w:rsidRDefault="00783731" w:rsidP="00783731">
            <w:pPr>
              <w:rPr>
                <w:color w:val="000000"/>
                <w:sz w:val="20"/>
                <w:szCs w:val="20"/>
              </w:rPr>
            </w:pPr>
            <w:r w:rsidRPr="00816C79">
              <w:rPr>
                <w:color w:val="000000"/>
                <w:sz w:val="20"/>
                <w:szCs w:val="20"/>
              </w:rPr>
              <w:t xml:space="preserve"> $   </w:t>
            </w:r>
            <w:r w:rsidR="00816C79" w:rsidRPr="00816C79">
              <w:rPr>
                <w:color w:val="000000"/>
                <w:sz w:val="20"/>
                <w:szCs w:val="20"/>
              </w:rPr>
              <w:t xml:space="preserve"> 139,366</w:t>
            </w:r>
          </w:p>
        </w:tc>
      </w:tr>
      <w:tr w:rsidR="00783731" w:rsidRPr="00816C79" w14:paraId="16CE9D8B" w14:textId="77777777" w:rsidTr="00866470">
        <w:trPr>
          <w:trHeight w:val="264"/>
        </w:trPr>
        <w:tc>
          <w:tcPr>
            <w:tcW w:w="2977" w:type="dxa"/>
            <w:tcBorders>
              <w:top w:val="nil"/>
              <w:left w:val="nil"/>
              <w:bottom w:val="nil"/>
              <w:right w:val="nil"/>
            </w:tcBorders>
            <w:shd w:val="clear" w:color="auto" w:fill="auto"/>
            <w:vAlign w:val="center"/>
            <w:hideMark/>
          </w:tcPr>
          <w:p w14:paraId="09E24288" w14:textId="77777777" w:rsidR="00783731" w:rsidRPr="00816C79" w:rsidRDefault="00783731" w:rsidP="00783731">
            <w:pPr>
              <w:rPr>
                <w:color w:val="000000"/>
                <w:sz w:val="20"/>
                <w:szCs w:val="20"/>
              </w:rPr>
            </w:pPr>
          </w:p>
        </w:tc>
        <w:tc>
          <w:tcPr>
            <w:tcW w:w="1331" w:type="dxa"/>
            <w:tcBorders>
              <w:top w:val="nil"/>
              <w:left w:val="nil"/>
              <w:bottom w:val="nil"/>
              <w:right w:val="nil"/>
            </w:tcBorders>
            <w:shd w:val="clear" w:color="auto" w:fill="auto"/>
            <w:vAlign w:val="center"/>
            <w:hideMark/>
          </w:tcPr>
          <w:p w14:paraId="481F1F5E"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6D032952"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2D551644"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vAlign w:val="center"/>
            <w:hideMark/>
          </w:tcPr>
          <w:p w14:paraId="344402B3"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vAlign w:val="center"/>
            <w:hideMark/>
          </w:tcPr>
          <w:p w14:paraId="30285842" w14:textId="77777777" w:rsidR="00783731" w:rsidRPr="00816C79" w:rsidRDefault="00783731" w:rsidP="00783731">
            <w:pPr>
              <w:rPr>
                <w:sz w:val="20"/>
                <w:szCs w:val="20"/>
              </w:rPr>
            </w:pPr>
          </w:p>
        </w:tc>
      </w:tr>
      <w:tr w:rsidR="00783731" w:rsidRPr="00816C79" w14:paraId="64A9BB77" w14:textId="77777777" w:rsidTr="00866470">
        <w:trPr>
          <w:trHeight w:val="264"/>
        </w:trPr>
        <w:tc>
          <w:tcPr>
            <w:tcW w:w="2977" w:type="dxa"/>
            <w:tcBorders>
              <w:top w:val="nil"/>
              <w:left w:val="nil"/>
              <w:bottom w:val="nil"/>
              <w:right w:val="nil"/>
            </w:tcBorders>
            <w:shd w:val="clear" w:color="auto" w:fill="auto"/>
            <w:vAlign w:val="center"/>
            <w:hideMark/>
          </w:tcPr>
          <w:p w14:paraId="0F7E8E81" w14:textId="77777777" w:rsidR="00783731" w:rsidRPr="00816C79" w:rsidRDefault="00783731" w:rsidP="00783731">
            <w:pPr>
              <w:rPr>
                <w:b/>
                <w:bCs/>
                <w:color w:val="000000"/>
                <w:sz w:val="20"/>
                <w:szCs w:val="20"/>
              </w:rPr>
            </w:pPr>
            <w:r w:rsidRPr="00816C79">
              <w:rPr>
                <w:b/>
                <w:bCs/>
                <w:color w:val="000000"/>
                <w:sz w:val="20"/>
                <w:szCs w:val="20"/>
              </w:rPr>
              <w:t>Carrying values</w:t>
            </w:r>
          </w:p>
        </w:tc>
        <w:tc>
          <w:tcPr>
            <w:tcW w:w="1331" w:type="dxa"/>
            <w:tcBorders>
              <w:top w:val="nil"/>
              <w:left w:val="nil"/>
              <w:bottom w:val="nil"/>
              <w:right w:val="nil"/>
            </w:tcBorders>
            <w:shd w:val="clear" w:color="auto" w:fill="auto"/>
            <w:vAlign w:val="center"/>
            <w:hideMark/>
          </w:tcPr>
          <w:p w14:paraId="052D9667" w14:textId="77777777" w:rsidR="00783731" w:rsidRPr="00816C79" w:rsidRDefault="00783731" w:rsidP="00783731">
            <w:pPr>
              <w:rPr>
                <w:b/>
                <w:bCs/>
                <w:color w:val="000000"/>
                <w:sz w:val="20"/>
                <w:szCs w:val="20"/>
              </w:rPr>
            </w:pPr>
          </w:p>
        </w:tc>
        <w:tc>
          <w:tcPr>
            <w:tcW w:w="1164" w:type="dxa"/>
            <w:tcBorders>
              <w:top w:val="nil"/>
              <w:left w:val="nil"/>
              <w:bottom w:val="nil"/>
              <w:right w:val="nil"/>
            </w:tcBorders>
            <w:shd w:val="clear" w:color="auto" w:fill="auto"/>
            <w:vAlign w:val="center"/>
            <w:hideMark/>
          </w:tcPr>
          <w:p w14:paraId="40EF8EFC" w14:textId="77777777" w:rsidR="00783731" w:rsidRPr="00816C79" w:rsidRDefault="00783731" w:rsidP="00783731">
            <w:pPr>
              <w:rPr>
                <w:sz w:val="20"/>
                <w:szCs w:val="20"/>
              </w:rPr>
            </w:pPr>
          </w:p>
        </w:tc>
        <w:tc>
          <w:tcPr>
            <w:tcW w:w="1164" w:type="dxa"/>
            <w:tcBorders>
              <w:top w:val="nil"/>
              <w:left w:val="nil"/>
              <w:bottom w:val="nil"/>
              <w:right w:val="nil"/>
            </w:tcBorders>
            <w:shd w:val="clear" w:color="auto" w:fill="auto"/>
            <w:vAlign w:val="center"/>
            <w:hideMark/>
          </w:tcPr>
          <w:p w14:paraId="414D41C6" w14:textId="77777777" w:rsidR="00783731" w:rsidRPr="00816C79" w:rsidRDefault="00783731" w:rsidP="00783731">
            <w:pPr>
              <w:rPr>
                <w:sz w:val="20"/>
                <w:szCs w:val="20"/>
              </w:rPr>
            </w:pPr>
          </w:p>
        </w:tc>
        <w:tc>
          <w:tcPr>
            <w:tcW w:w="1138" w:type="dxa"/>
            <w:tcBorders>
              <w:top w:val="nil"/>
              <w:left w:val="nil"/>
              <w:bottom w:val="nil"/>
              <w:right w:val="nil"/>
            </w:tcBorders>
            <w:shd w:val="clear" w:color="auto" w:fill="auto"/>
            <w:vAlign w:val="center"/>
            <w:hideMark/>
          </w:tcPr>
          <w:p w14:paraId="4BE115CE" w14:textId="77777777" w:rsidR="00783731" w:rsidRPr="00816C79" w:rsidRDefault="00783731" w:rsidP="00783731">
            <w:pPr>
              <w:rPr>
                <w:sz w:val="20"/>
                <w:szCs w:val="20"/>
              </w:rPr>
            </w:pPr>
          </w:p>
        </w:tc>
        <w:tc>
          <w:tcPr>
            <w:tcW w:w="1298" w:type="dxa"/>
            <w:tcBorders>
              <w:top w:val="nil"/>
              <w:left w:val="nil"/>
              <w:bottom w:val="nil"/>
              <w:right w:val="nil"/>
            </w:tcBorders>
            <w:shd w:val="clear" w:color="auto" w:fill="auto"/>
            <w:vAlign w:val="center"/>
            <w:hideMark/>
          </w:tcPr>
          <w:p w14:paraId="150E679D" w14:textId="77777777" w:rsidR="00783731" w:rsidRPr="00816C79" w:rsidRDefault="00783731" w:rsidP="00783731">
            <w:pPr>
              <w:rPr>
                <w:sz w:val="20"/>
                <w:szCs w:val="20"/>
              </w:rPr>
            </w:pPr>
          </w:p>
        </w:tc>
      </w:tr>
      <w:tr w:rsidR="00783731" w:rsidRPr="0007463E" w14:paraId="1B5F18A0" w14:textId="77777777" w:rsidTr="00866470">
        <w:trPr>
          <w:trHeight w:val="288"/>
        </w:trPr>
        <w:tc>
          <w:tcPr>
            <w:tcW w:w="2977" w:type="dxa"/>
            <w:tcBorders>
              <w:top w:val="nil"/>
              <w:left w:val="nil"/>
              <w:bottom w:val="nil"/>
              <w:right w:val="nil"/>
            </w:tcBorders>
            <w:shd w:val="clear" w:color="auto" w:fill="auto"/>
            <w:vAlign w:val="center"/>
            <w:hideMark/>
          </w:tcPr>
          <w:p w14:paraId="5E899E5E" w14:textId="77777777" w:rsidR="00783731" w:rsidRPr="00816C79" w:rsidRDefault="00783731" w:rsidP="00783731">
            <w:pPr>
              <w:rPr>
                <w:color w:val="000000"/>
                <w:sz w:val="20"/>
                <w:szCs w:val="20"/>
              </w:rPr>
            </w:pPr>
            <w:r w:rsidRPr="00816C79">
              <w:rPr>
                <w:color w:val="000000"/>
                <w:sz w:val="20"/>
                <w:szCs w:val="20"/>
              </w:rPr>
              <w:t>December 31, 2020</w:t>
            </w:r>
          </w:p>
        </w:tc>
        <w:tc>
          <w:tcPr>
            <w:tcW w:w="1331" w:type="dxa"/>
            <w:tcBorders>
              <w:top w:val="nil"/>
              <w:left w:val="nil"/>
              <w:bottom w:val="nil"/>
              <w:right w:val="nil"/>
            </w:tcBorders>
            <w:shd w:val="clear" w:color="auto" w:fill="auto"/>
            <w:vAlign w:val="center"/>
            <w:hideMark/>
          </w:tcPr>
          <w:p w14:paraId="608D69B1" w14:textId="5B48B18A" w:rsidR="00783731" w:rsidRPr="00816C79" w:rsidRDefault="00783731" w:rsidP="00783731">
            <w:pPr>
              <w:rPr>
                <w:color w:val="000000"/>
                <w:sz w:val="20"/>
                <w:szCs w:val="20"/>
              </w:rPr>
            </w:pPr>
            <w:r w:rsidRPr="00816C79">
              <w:rPr>
                <w:color w:val="000000"/>
                <w:sz w:val="20"/>
                <w:szCs w:val="20"/>
              </w:rPr>
              <w:t xml:space="preserve"> $     337,495 </w:t>
            </w:r>
          </w:p>
        </w:tc>
        <w:tc>
          <w:tcPr>
            <w:tcW w:w="1164" w:type="dxa"/>
            <w:tcBorders>
              <w:top w:val="nil"/>
              <w:left w:val="nil"/>
              <w:bottom w:val="nil"/>
              <w:right w:val="nil"/>
            </w:tcBorders>
            <w:shd w:val="clear" w:color="auto" w:fill="auto"/>
            <w:vAlign w:val="center"/>
            <w:hideMark/>
          </w:tcPr>
          <w:p w14:paraId="2C1C9A92" w14:textId="48A04ADE" w:rsidR="00783731" w:rsidRPr="00816C79" w:rsidRDefault="00783731" w:rsidP="00783731">
            <w:pPr>
              <w:rPr>
                <w:color w:val="000000"/>
                <w:sz w:val="20"/>
                <w:szCs w:val="20"/>
              </w:rPr>
            </w:pPr>
            <w:r w:rsidRPr="00816C79">
              <w:rPr>
                <w:color w:val="000000"/>
                <w:sz w:val="20"/>
                <w:szCs w:val="20"/>
              </w:rPr>
              <w:t xml:space="preserve"> $  211,917 </w:t>
            </w:r>
          </w:p>
        </w:tc>
        <w:tc>
          <w:tcPr>
            <w:tcW w:w="1164" w:type="dxa"/>
            <w:tcBorders>
              <w:top w:val="nil"/>
              <w:left w:val="nil"/>
              <w:bottom w:val="nil"/>
              <w:right w:val="nil"/>
            </w:tcBorders>
            <w:shd w:val="clear" w:color="auto" w:fill="auto"/>
            <w:vAlign w:val="center"/>
            <w:hideMark/>
          </w:tcPr>
          <w:p w14:paraId="6062A2C3" w14:textId="486501C3" w:rsidR="00783731" w:rsidRPr="00816C79" w:rsidRDefault="00783731" w:rsidP="00783731">
            <w:pPr>
              <w:rPr>
                <w:color w:val="000000"/>
                <w:sz w:val="20"/>
                <w:szCs w:val="20"/>
              </w:rPr>
            </w:pPr>
            <w:r w:rsidRPr="00816C79">
              <w:rPr>
                <w:color w:val="000000"/>
                <w:sz w:val="20"/>
                <w:szCs w:val="20"/>
              </w:rPr>
              <w:t xml:space="preserve"> $    60,000 </w:t>
            </w:r>
          </w:p>
        </w:tc>
        <w:tc>
          <w:tcPr>
            <w:tcW w:w="1138" w:type="dxa"/>
            <w:tcBorders>
              <w:top w:val="nil"/>
              <w:left w:val="nil"/>
              <w:bottom w:val="nil"/>
              <w:right w:val="nil"/>
            </w:tcBorders>
            <w:shd w:val="clear" w:color="auto" w:fill="auto"/>
            <w:vAlign w:val="center"/>
            <w:hideMark/>
          </w:tcPr>
          <w:p w14:paraId="430AF6DF" w14:textId="77777777" w:rsidR="00783731" w:rsidRPr="00816C79" w:rsidRDefault="00783731" w:rsidP="00783731">
            <w:pPr>
              <w:rPr>
                <w:color w:val="000000"/>
                <w:sz w:val="20"/>
                <w:szCs w:val="20"/>
              </w:rPr>
            </w:pPr>
            <w:r w:rsidRPr="00816C79">
              <w:rPr>
                <w:color w:val="000000"/>
                <w:sz w:val="20"/>
                <w:szCs w:val="20"/>
              </w:rPr>
              <w:t xml:space="preserve"> $  17,567 </w:t>
            </w:r>
          </w:p>
        </w:tc>
        <w:tc>
          <w:tcPr>
            <w:tcW w:w="1298" w:type="dxa"/>
            <w:tcBorders>
              <w:top w:val="nil"/>
              <w:left w:val="nil"/>
              <w:bottom w:val="nil"/>
              <w:right w:val="nil"/>
            </w:tcBorders>
            <w:shd w:val="clear" w:color="auto" w:fill="auto"/>
            <w:vAlign w:val="center"/>
            <w:hideMark/>
          </w:tcPr>
          <w:p w14:paraId="16AD8F4C" w14:textId="23A0397E" w:rsidR="00783731" w:rsidRPr="00816C79" w:rsidRDefault="00783731" w:rsidP="00783731">
            <w:pPr>
              <w:rPr>
                <w:color w:val="000000"/>
                <w:sz w:val="20"/>
                <w:szCs w:val="20"/>
              </w:rPr>
            </w:pPr>
            <w:r w:rsidRPr="00816C79">
              <w:rPr>
                <w:color w:val="000000"/>
                <w:sz w:val="20"/>
                <w:szCs w:val="20"/>
              </w:rPr>
              <w:t xml:space="preserve"> $     626,979 </w:t>
            </w:r>
          </w:p>
        </w:tc>
      </w:tr>
      <w:tr w:rsidR="00783731" w:rsidRPr="00816C79" w14:paraId="4E00402F" w14:textId="77777777" w:rsidTr="00866470">
        <w:trPr>
          <w:trHeight w:val="300"/>
        </w:trPr>
        <w:tc>
          <w:tcPr>
            <w:tcW w:w="2977" w:type="dxa"/>
            <w:tcBorders>
              <w:top w:val="nil"/>
              <w:left w:val="nil"/>
              <w:bottom w:val="double" w:sz="6" w:space="0" w:color="auto"/>
              <w:right w:val="nil"/>
            </w:tcBorders>
            <w:shd w:val="clear" w:color="auto" w:fill="auto"/>
            <w:vAlign w:val="center"/>
            <w:hideMark/>
          </w:tcPr>
          <w:p w14:paraId="2A406694" w14:textId="02510E2F" w:rsidR="00783731" w:rsidRPr="00816C79" w:rsidRDefault="00C117D6" w:rsidP="00783731">
            <w:pPr>
              <w:rPr>
                <w:color w:val="000000"/>
                <w:sz w:val="20"/>
                <w:szCs w:val="20"/>
              </w:rPr>
            </w:pPr>
            <w:r w:rsidRPr="00816C79">
              <w:rPr>
                <w:color w:val="000000"/>
                <w:sz w:val="20"/>
                <w:szCs w:val="20"/>
              </w:rPr>
              <w:t>June 30</w:t>
            </w:r>
            <w:r w:rsidR="00783731" w:rsidRPr="00816C79">
              <w:rPr>
                <w:color w:val="000000"/>
                <w:sz w:val="20"/>
                <w:szCs w:val="20"/>
              </w:rPr>
              <w:t>, 2021</w:t>
            </w:r>
          </w:p>
        </w:tc>
        <w:tc>
          <w:tcPr>
            <w:tcW w:w="1331" w:type="dxa"/>
            <w:tcBorders>
              <w:top w:val="nil"/>
              <w:left w:val="nil"/>
              <w:bottom w:val="double" w:sz="6" w:space="0" w:color="auto"/>
              <w:right w:val="nil"/>
            </w:tcBorders>
            <w:shd w:val="clear" w:color="auto" w:fill="auto"/>
            <w:vAlign w:val="center"/>
            <w:hideMark/>
          </w:tcPr>
          <w:p w14:paraId="03ABF4F1" w14:textId="04EF3A42" w:rsidR="00783731" w:rsidRPr="00816C79" w:rsidRDefault="00783731" w:rsidP="00783731">
            <w:pPr>
              <w:rPr>
                <w:color w:val="000000"/>
                <w:sz w:val="20"/>
                <w:szCs w:val="20"/>
              </w:rPr>
            </w:pPr>
            <w:r w:rsidRPr="00816C79">
              <w:rPr>
                <w:color w:val="000000"/>
                <w:sz w:val="20"/>
                <w:szCs w:val="20"/>
              </w:rPr>
              <w:t xml:space="preserve"> $     3</w:t>
            </w:r>
            <w:r w:rsidR="00816C79" w:rsidRPr="00816C79">
              <w:rPr>
                <w:color w:val="000000"/>
                <w:sz w:val="20"/>
                <w:szCs w:val="20"/>
              </w:rPr>
              <w:t>17,040</w:t>
            </w:r>
            <w:r w:rsidRPr="00816C79">
              <w:rPr>
                <w:color w:val="000000"/>
                <w:sz w:val="20"/>
                <w:szCs w:val="20"/>
              </w:rPr>
              <w:t xml:space="preserve"> </w:t>
            </w:r>
          </w:p>
        </w:tc>
        <w:tc>
          <w:tcPr>
            <w:tcW w:w="1164" w:type="dxa"/>
            <w:tcBorders>
              <w:top w:val="nil"/>
              <w:left w:val="nil"/>
              <w:bottom w:val="double" w:sz="6" w:space="0" w:color="auto"/>
              <w:right w:val="nil"/>
            </w:tcBorders>
            <w:shd w:val="clear" w:color="auto" w:fill="auto"/>
            <w:vAlign w:val="center"/>
            <w:hideMark/>
          </w:tcPr>
          <w:p w14:paraId="76E0655D" w14:textId="147EC4FE" w:rsidR="00783731" w:rsidRPr="00816C79" w:rsidRDefault="00783731" w:rsidP="00783731">
            <w:pPr>
              <w:rPr>
                <w:color w:val="000000"/>
                <w:sz w:val="20"/>
                <w:szCs w:val="20"/>
              </w:rPr>
            </w:pPr>
            <w:r w:rsidRPr="00816C79">
              <w:rPr>
                <w:color w:val="000000"/>
                <w:sz w:val="20"/>
                <w:szCs w:val="20"/>
              </w:rPr>
              <w:t xml:space="preserve"> $  </w:t>
            </w:r>
            <w:r w:rsidR="00816C79" w:rsidRPr="00816C79">
              <w:rPr>
                <w:color w:val="000000"/>
                <w:sz w:val="20"/>
                <w:szCs w:val="20"/>
              </w:rPr>
              <w:t>199,571</w:t>
            </w:r>
            <w:r w:rsidRPr="00816C79">
              <w:rPr>
                <w:color w:val="000000"/>
                <w:sz w:val="20"/>
                <w:szCs w:val="20"/>
              </w:rPr>
              <w:t xml:space="preserve"> </w:t>
            </w:r>
          </w:p>
        </w:tc>
        <w:tc>
          <w:tcPr>
            <w:tcW w:w="1164" w:type="dxa"/>
            <w:tcBorders>
              <w:top w:val="nil"/>
              <w:left w:val="nil"/>
              <w:bottom w:val="double" w:sz="6" w:space="0" w:color="auto"/>
              <w:right w:val="nil"/>
            </w:tcBorders>
            <w:shd w:val="clear" w:color="auto" w:fill="auto"/>
            <w:vAlign w:val="center"/>
            <w:hideMark/>
          </w:tcPr>
          <w:p w14:paraId="199D9A3F" w14:textId="66016AE2" w:rsidR="00783731" w:rsidRPr="00816C79" w:rsidRDefault="00783731" w:rsidP="00783731">
            <w:pPr>
              <w:rPr>
                <w:color w:val="000000"/>
                <w:sz w:val="20"/>
                <w:szCs w:val="20"/>
              </w:rPr>
            </w:pPr>
            <w:r w:rsidRPr="00816C79">
              <w:rPr>
                <w:color w:val="000000"/>
                <w:sz w:val="20"/>
                <w:szCs w:val="20"/>
              </w:rPr>
              <w:t xml:space="preserve"> $    60,000 </w:t>
            </w:r>
          </w:p>
        </w:tc>
        <w:tc>
          <w:tcPr>
            <w:tcW w:w="1138" w:type="dxa"/>
            <w:tcBorders>
              <w:top w:val="nil"/>
              <w:left w:val="nil"/>
              <w:bottom w:val="double" w:sz="6" w:space="0" w:color="auto"/>
              <w:right w:val="nil"/>
            </w:tcBorders>
            <w:shd w:val="clear" w:color="auto" w:fill="auto"/>
            <w:vAlign w:val="center"/>
            <w:hideMark/>
          </w:tcPr>
          <w:p w14:paraId="4E33274C" w14:textId="77777777" w:rsidR="00783731" w:rsidRPr="00816C79" w:rsidRDefault="00783731" w:rsidP="00783731">
            <w:pPr>
              <w:rPr>
                <w:color w:val="000000"/>
                <w:sz w:val="20"/>
                <w:szCs w:val="20"/>
              </w:rPr>
            </w:pPr>
            <w:r w:rsidRPr="00816C79">
              <w:rPr>
                <w:color w:val="000000"/>
                <w:sz w:val="20"/>
                <w:szCs w:val="20"/>
              </w:rPr>
              <w:t xml:space="preserve"> $  17,567 </w:t>
            </w:r>
          </w:p>
        </w:tc>
        <w:tc>
          <w:tcPr>
            <w:tcW w:w="1298" w:type="dxa"/>
            <w:tcBorders>
              <w:top w:val="nil"/>
              <w:left w:val="nil"/>
              <w:bottom w:val="double" w:sz="6" w:space="0" w:color="auto"/>
              <w:right w:val="nil"/>
            </w:tcBorders>
            <w:shd w:val="clear" w:color="auto" w:fill="auto"/>
            <w:vAlign w:val="center"/>
            <w:hideMark/>
          </w:tcPr>
          <w:p w14:paraId="1B77623B" w14:textId="1E218457" w:rsidR="00783731" w:rsidRPr="00816C79" w:rsidRDefault="00783731" w:rsidP="00783731">
            <w:pPr>
              <w:rPr>
                <w:color w:val="000000"/>
                <w:sz w:val="20"/>
                <w:szCs w:val="20"/>
              </w:rPr>
            </w:pPr>
            <w:r w:rsidRPr="00816C79">
              <w:rPr>
                <w:color w:val="000000"/>
                <w:sz w:val="20"/>
                <w:szCs w:val="20"/>
              </w:rPr>
              <w:t xml:space="preserve"> $     </w:t>
            </w:r>
            <w:r w:rsidR="00816C79" w:rsidRPr="00816C79">
              <w:rPr>
                <w:color w:val="000000"/>
                <w:sz w:val="20"/>
                <w:szCs w:val="20"/>
              </w:rPr>
              <w:t>594,178</w:t>
            </w:r>
            <w:r w:rsidRPr="00816C79">
              <w:rPr>
                <w:color w:val="000000"/>
                <w:sz w:val="20"/>
                <w:szCs w:val="20"/>
              </w:rPr>
              <w:t xml:space="preserve"> </w:t>
            </w:r>
          </w:p>
        </w:tc>
      </w:tr>
    </w:tbl>
    <w:p w14:paraId="24A5028C" w14:textId="1865D807" w:rsidR="00783731" w:rsidRPr="00816C79" w:rsidRDefault="00783731" w:rsidP="00783731">
      <w:pPr>
        <w:jc w:val="both"/>
        <w:rPr>
          <w:b/>
          <w:bCs/>
          <w:sz w:val="20"/>
          <w:szCs w:val="20"/>
        </w:rPr>
      </w:pPr>
    </w:p>
    <w:p w14:paraId="3FB2FF5F" w14:textId="77777777" w:rsidR="0037068E" w:rsidRPr="00816C79" w:rsidRDefault="0037068E" w:rsidP="0037068E">
      <w:pPr>
        <w:pStyle w:val="ListParagraph"/>
        <w:ind w:left="284"/>
        <w:jc w:val="both"/>
        <w:rPr>
          <w:sz w:val="20"/>
          <w:szCs w:val="20"/>
        </w:rPr>
      </w:pPr>
      <w:r w:rsidRPr="00816C79">
        <w:rPr>
          <w:sz w:val="20"/>
          <w:szCs w:val="20"/>
        </w:rPr>
        <w:t xml:space="preserve">Trademarks are assessed as having an indefinite useful life because they do not </w:t>
      </w:r>
      <w:proofErr w:type="gramStart"/>
      <w:r w:rsidRPr="00816C79">
        <w:rPr>
          <w:sz w:val="20"/>
          <w:szCs w:val="20"/>
        </w:rPr>
        <w:t>expire</w:t>
      </w:r>
      <w:proofErr w:type="gramEnd"/>
      <w:r w:rsidRPr="00816C79">
        <w:rPr>
          <w:sz w:val="20"/>
          <w:szCs w:val="20"/>
        </w:rPr>
        <w:t xml:space="preserve"> and the Company expects to continue to benefit from their use.</w:t>
      </w:r>
    </w:p>
    <w:p w14:paraId="3D6ABD6A" w14:textId="319A7113" w:rsidR="00DA35E3" w:rsidRPr="0007463E" w:rsidRDefault="00DA35E3" w:rsidP="0093288B">
      <w:pPr>
        <w:pStyle w:val="ListParagraph"/>
        <w:ind w:left="284"/>
        <w:jc w:val="both"/>
        <w:rPr>
          <w:b/>
          <w:bCs/>
          <w:sz w:val="20"/>
          <w:szCs w:val="20"/>
          <w:highlight w:val="yellow"/>
        </w:rPr>
      </w:pPr>
    </w:p>
    <w:p w14:paraId="3B1E9FC4" w14:textId="337E00F2" w:rsidR="008E0981" w:rsidRPr="009B6ED9" w:rsidRDefault="00356E7B" w:rsidP="00371BEA">
      <w:pPr>
        <w:pStyle w:val="ListParagraph"/>
        <w:numPr>
          <w:ilvl w:val="0"/>
          <w:numId w:val="28"/>
        </w:numPr>
        <w:ind w:left="284"/>
        <w:jc w:val="both"/>
        <w:rPr>
          <w:b/>
          <w:bCs/>
          <w:sz w:val="20"/>
          <w:szCs w:val="20"/>
        </w:rPr>
      </w:pPr>
      <w:r w:rsidRPr="009B6ED9">
        <w:rPr>
          <w:b/>
          <w:bCs/>
          <w:sz w:val="20"/>
          <w:szCs w:val="20"/>
        </w:rPr>
        <w:t>CONVERTIBLE DEBENTURES</w:t>
      </w:r>
    </w:p>
    <w:p w14:paraId="3C8C760B" w14:textId="69CCBFC6" w:rsidR="00713D92" w:rsidRPr="009B6ED9" w:rsidRDefault="00713D92" w:rsidP="00A1490E">
      <w:pPr>
        <w:ind w:left="284"/>
        <w:jc w:val="both"/>
        <w:rPr>
          <w:sz w:val="20"/>
          <w:szCs w:val="20"/>
        </w:rPr>
      </w:pPr>
    </w:p>
    <w:p w14:paraId="081F4EE7" w14:textId="2E57B48F" w:rsidR="006221F3" w:rsidRPr="009B6ED9" w:rsidRDefault="0037068E" w:rsidP="00B4512F">
      <w:pPr>
        <w:ind w:left="357"/>
        <w:jc w:val="both"/>
        <w:rPr>
          <w:sz w:val="20"/>
          <w:szCs w:val="20"/>
          <w:lang w:val="en-US"/>
        </w:rPr>
      </w:pPr>
      <w:r w:rsidRPr="009B6ED9">
        <w:rPr>
          <w:sz w:val="20"/>
          <w:szCs w:val="20"/>
        </w:rPr>
        <w:t xml:space="preserve">In March 2020, Marble closed a private placement offering of unsecured convertible debentures (the “Debentures”) with an aggregate principal amount of $400,000. In October 2020, the Company closed a second tranche and issued Debentures with an aggregate principal amount of $160,000.  The Debentures </w:t>
      </w:r>
      <w:r w:rsidR="009F7576" w:rsidRPr="009B6ED9">
        <w:rPr>
          <w:sz w:val="20"/>
          <w:szCs w:val="20"/>
        </w:rPr>
        <w:t xml:space="preserve">had </w:t>
      </w:r>
      <w:r w:rsidRPr="009B6ED9">
        <w:rPr>
          <w:sz w:val="20"/>
          <w:szCs w:val="20"/>
        </w:rPr>
        <w:t>a one-year term from the dates of issuance and accrue</w:t>
      </w:r>
      <w:r w:rsidR="009F7576" w:rsidRPr="009B6ED9">
        <w:rPr>
          <w:sz w:val="20"/>
          <w:szCs w:val="20"/>
        </w:rPr>
        <w:t>d</w:t>
      </w:r>
      <w:r w:rsidRPr="009B6ED9">
        <w:rPr>
          <w:sz w:val="20"/>
          <w:szCs w:val="20"/>
        </w:rPr>
        <w:t xml:space="preserve"> simple interest at a rate of 12% per annum, payable quarterly. The principal amount of the Debentures and all accrued, but unpaid, interest </w:t>
      </w:r>
      <w:r w:rsidR="009F7576" w:rsidRPr="009B6ED9">
        <w:rPr>
          <w:sz w:val="20"/>
          <w:szCs w:val="20"/>
        </w:rPr>
        <w:t xml:space="preserve">were </w:t>
      </w:r>
      <w:r w:rsidRPr="009B6ED9">
        <w:rPr>
          <w:sz w:val="20"/>
          <w:szCs w:val="20"/>
        </w:rPr>
        <w:t>convertible at the option of the holder into common shares of Marble at a price of $0.30 per common share. The Company allocated $33,292 to the equity component of the Debentures. In December 2020, the Company redeemed Debentures with principal amounts of $</w:t>
      </w:r>
      <w:r w:rsidR="009B3A35" w:rsidRPr="009B6ED9">
        <w:rPr>
          <w:sz w:val="20"/>
          <w:szCs w:val="20"/>
        </w:rPr>
        <w:t>100,000</w:t>
      </w:r>
      <w:r w:rsidRPr="009B6ED9">
        <w:rPr>
          <w:sz w:val="20"/>
          <w:szCs w:val="20"/>
        </w:rPr>
        <w:t xml:space="preserve">.  </w:t>
      </w:r>
      <w:r w:rsidR="00116EEF" w:rsidRPr="009B6ED9">
        <w:rPr>
          <w:sz w:val="20"/>
          <w:szCs w:val="20"/>
        </w:rPr>
        <w:t xml:space="preserve">During the </w:t>
      </w:r>
      <w:r w:rsidR="00C117D6" w:rsidRPr="009B6ED9">
        <w:rPr>
          <w:sz w:val="20"/>
          <w:szCs w:val="20"/>
        </w:rPr>
        <w:t>six months</w:t>
      </w:r>
      <w:r w:rsidR="001331C4" w:rsidRPr="009B6ED9">
        <w:rPr>
          <w:sz w:val="20"/>
          <w:szCs w:val="20"/>
        </w:rPr>
        <w:t xml:space="preserve"> </w:t>
      </w:r>
      <w:r w:rsidR="00116EEF" w:rsidRPr="009B6ED9">
        <w:rPr>
          <w:sz w:val="20"/>
          <w:szCs w:val="20"/>
        </w:rPr>
        <w:t xml:space="preserve">ended </w:t>
      </w:r>
      <w:r w:rsidR="00C117D6" w:rsidRPr="009B6ED9">
        <w:rPr>
          <w:sz w:val="20"/>
          <w:szCs w:val="20"/>
        </w:rPr>
        <w:t>June 30</w:t>
      </w:r>
      <w:r w:rsidR="00116EEF" w:rsidRPr="009B6ED9">
        <w:rPr>
          <w:sz w:val="20"/>
          <w:szCs w:val="20"/>
        </w:rPr>
        <w:t>, 2021,</w:t>
      </w:r>
      <w:r w:rsidR="00B4512F" w:rsidRPr="009B6ED9">
        <w:rPr>
          <w:sz w:val="20"/>
          <w:szCs w:val="20"/>
        </w:rPr>
        <w:t xml:space="preserve"> the remaining Debenture</w:t>
      </w:r>
      <w:r w:rsidR="00BD2CDE">
        <w:rPr>
          <w:sz w:val="20"/>
          <w:szCs w:val="20"/>
        </w:rPr>
        <w:t>s principal of $460,000</w:t>
      </w:r>
      <w:r w:rsidR="00B4512F" w:rsidRPr="009B6ED9">
        <w:rPr>
          <w:sz w:val="20"/>
          <w:szCs w:val="20"/>
        </w:rPr>
        <w:t xml:space="preserve"> </w:t>
      </w:r>
      <w:r w:rsidR="00BD2CDE" w:rsidRPr="009B6ED9">
        <w:rPr>
          <w:sz w:val="20"/>
          <w:szCs w:val="20"/>
        </w:rPr>
        <w:t>w</w:t>
      </w:r>
      <w:r w:rsidR="00BD2CDE">
        <w:rPr>
          <w:sz w:val="20"/>
          <w:szCs w:val="20"/>
        </w:rPr>
        <w:t>as</w:t>
      </w:r>
      <w:r w:rsidR="00BD2CDE" w:rsidRPr="009B6ED9">
        <w:rPr>
          <w:sz w:val="20"/>
          <w:szCs w:val="20"/>
        </w:rPr>
        <w:t xml:space="preserve"> </w:t>
      </w:r>
      <w:r w:rsidR="00B4512F" w:rsidRPr="009B6ED9">
        <w:rPr>
          <w:sz w:val="20"/>
          <w:szCs w:val="20"/>
        </w:rPr>
        <w:t>converted into 1,533,333 common shares of Marble</w:t>
      </w:r>
      <w:r w:rsidR="00EB013A" w:rsidRPr="009B6ED9">
        <w:rPr>
          <w:sz w:val="20"/>
          <w:szCs w:val="20"/>
          <w:lang w:val="en-US"/>
        </w:rPr>
        <w:t>, which resulted in a loss on settlement of $</w:t>
      </w:r>
      <w:r w:rsidR="009B3A35" w:rsidRPr="009B6ED9">
        <w:rPr>
          <w:sz w:val="20"/>
          <w:szCs w:val="20"/>
          <w:lang w:val="en-US"/>
        </w:rPr>
        <w:t>22,036</w:t>
      </w:r>
      <w:r w:rsidR="00EB013A" w:rsidRPr="009B6ED9">
        <w:rPr>
          <w:sz w:val="20"/>
          <w:szCs w:val="20"/>
          <w:lang w:val="en-US"/>
        </w:rPr>
        <w:t xml:space="preserve">.  </w:t>
      </w:r>
    </w:p>
    <w:p w14:paraId="317993FC" w14:textId="77777777" w:rsidR="006221F3" w:rsidRPr="009B6ED9" w:rsidRDefault="006221F3" w:rsidP="00B4512F">
      <w:pPr>
        <w:ind w:left="357"/>
        <w:jc w:val="both"/>
        <w:rPr>
          <w:sz w:val="20"/>
          <w:szCs w:val="20"/>
          <w:lang w:val="en-US"/>
        </w:rPr>
      </w:pPr>
    </w:p>
    <w:p w14:paraId="1BB17577" w14:textId="77777777" w:rsidR="00341E75" w:rsidRDefault="006221F3" w:rsidP="00B4512F">
      <w:pPr>
        <w:ind w:left="357"/>
        <w:jc w:val="both"/>
        <w:rPr>
          <w:sz w:val="20"/>
          <w:szCs w:val="20"/>
        </w:rPr>
      </w:pPr>
      <w:r w:rsidRPr="009B6ED9">
        <w:rPr>
          <w:sz w:val="20"/>
          <w:szCs w:val="20"/>
        </w:rPr>
        <w:t xml:space="preserve">On April 7, 2021, the Company closed a non-brokered private placement of unsecured convertible debentures (the “New Debentures”) with an aggregate principal amount of $1,303,000. The New Debentures have a 15-month term from the date of issuance and accrue </w:t>
      </w:r>
      <w:r w:rsidR="003B218D">
        <w:rPr>
          <w:sz w:val="20"/>
          <w:szCs w:val="20"/>
        </w:rPr>
        <w:t xml:space="preserve">simple </w:t>
      </w:r>
      <w:r w:rsidRPr="009B6ED9">
        <w:rPr>
          <w:sz w:val="20"/>
          <w:szCs w:val="20"/>
        </w:rPr>
        <w:t xml:space="preserve">interest at a rate of 10% per annum, payable semi-annually. The principal amount of the New Debentures and all accrued but unpaid interest are convertible, at the option of the holder, into units at a price of $0.30 per unit. Each unit is comprised of one common share and one-half of one share purchase warrant, with a whole warrant exercisable to purchase a common share at a price of $0.45 until 21 months after the closing date. The Company may force conversion of the principal amount into units at $0.30 per unit if at any time after four months and a day after the closing date, the common shares have </w:t>
      </w:r>
    </w:p>
    <w:p w14:paraId="7250F962" w14:textId="4A5A2041" w:rsidR="00341E75" w:rsidRDefault="00341E75" w:rsidP="00B4512F">
      <w:pPr>
        <w:ind w:left="357"/>
        <w:jc w:val="both"/>
        <w:rPr>
          <w:sz w:val="20"/>
          <w:szCs w:val="20"/>
        </w:rPr>
      </w:pPr>
    </w:p>
    <w:p w14:paraId="7E942BE9" w14:textId="77777777" w:rsidR="00341E75" w:rsidRDefault="00341E75" w:rsidP="00B4512F">
      <w:pPr>
        <w:ind w:left="357"/>
        <w:jc w:val="both"/>
        <w:rPr>
          <w:sz w:val="20"/>
          <w:szCs w:val="20"/>
        </w:rPr>
      </w:pPr>
    </w:p>
    <w:p w14:paraId="457DD159" w14:textId="77777777" w:rsidR="00341E75" w:rsidRPr="009B6ED9" w:rsidRDefault="00341E75" w:rsidP="00341E75">
      <w:pPr>
        <w:pStyle w:val="ListParagraph"/>
        <w:numPr>
          <w:ilvl w:val="0"/>
          <w:numId w:val="29"/>
        </w:numPr>
        <w:ind w:left="284" w:hanging="426"/>
        <w:jc w:val="both"/>
        <w:rPr>
          <w:b/>
          <w:bCs/>
          <w:sz w:val="20"/>
          <w:szCs w:val="20"/>
        </w:rPr>
      </w:pPr>
      <w:r w:rsidRPr="009B6ED9">
        <w:rPr>
          <w:b/>
          <w:bCs/>
          <w:sz w:val="20"/>
          <w:szCs w:val="20"/>
        </w:rPr>
        <w:t xml:space="preserve">CONVERTIBLE DEBENTURES </w:t>
      </w:r>
      <w:r w:rsidRPr="009B6ED9">
        <w:rPr>
          <w:i/>
          <w:iCs/>
          <w:sz w:val="20"/>
          <w:szCs w:val="20"/>
        </w:rPr>
        <w:t>(cont’d…)</w:t>
      </w:r>
    </w:p>
    <w:p w14:paraId="085E7F8A" w14:textId="77777777" w:rsidR="00341E75" w:rsidRDefault="00341E75" w:rsidP="00B4512F">
      <w:pPr>
        <w:ind w:left="357"/>
        <w:jc w:val="both"/>
        <w:rPr>
          <w:sz w:val="20"/>
          <w:szCs w:val="20"/>
        </w:rPr>
      </w:pPr>
    </w:p>
    <w:p w14:paraId="241EE76C" w14:textId="17036C44" w:rsidR="009B6ED9" w:rsidRPr="009B6ED9" w:rsidRDefault="006221F3" w:rsidP="00B4512F">
      <w:pPr>
        <w:ind w:left="357"/>
        <w:jc w:val="both"/>
        <w:rPr>
          <w:sz w:val="20"/>
          <w:szCs w:val="20"/>
        </w:rPr>
      </w:pPr>
      <w:r w:rsidRPr="009B6ED9">
        <w:rPr>
          <w:sz w:val="20"/>
          <w:szCs w:val="20"/>
        </w:rPr>
        <w:t xml:space="preserve">traded or closed on the CSE at $0.60 or more for </w:t>
      </w:r>
      <w:r w:rsidR="003B218D">
        <w:rPr>
          <w:sz w:val="20"/>
          <w:szCs w:val="20"/>
        </w:rPr>
        <w:t>10</w:t>
      </w:r>
      <w:r w:rsidR="003B218D" w:rsidRPr="009B6ED9">
        <w:rPr>
          <w:sz w:val="20"/>
          <w:szCs w:val="20"/>
        </w:rPr>
        <w:t xml:space="preserve"> </w:t>
      </w:r>
      <w:r w:rsidRPr="009B6ED9">
        <w:rPr>
          <w:sz w:val="20"/>
          <w:szCs w:val="20"/>
        </w:rPr>
        <w:t xml:space="preserve">consecutive trading days. In connection with the private placement, the Company paid an aggregate of $40,150 in finder fees and issued an aggregate of 133,832 finder </w:t>
      </w:r>
    </w:p>
    <w:p w14:paraId="441BFA6B" w14:textId="3692D984" w:rsidR="006221F3" w:rsidRDefault="006221F3" w:rsidP="00B4512F">
      <w:pPr>
        <w:ind w:left="357"/>
        <w:jc w:val="both"/>
        <w:rPr>
          <w:sz w:val="20"/>
          <w:szCs w:val="20"/>
        </w:rPr>
      </w:pPr>
      <w:r w:rsidRPr="009B6ED9">
        <w:rPr>
          <w:sz w:val="20"/>
          <w:szCs w:val="20"/>
        </w:rPr>
        <w:t>warrants with an estimated fair value of $9,641 using the Black-Scholes pricing model. Each finder warrant is exercisable into one common share at a price of $0.30 for a period of 15 months following closing</w:t>
      </w:r>
    </w:p>
    <w:p w14:paraId="3AAF6BDA" w14:textId="76C96E4C" w:rsidR="00C03DF2" w:rsidRDefault="00C03DF2" w:rsidP="00B4512F">
      <w:pPr>
        <w:ind w:left="357"/>
        <w:jc w:val="both"/>
        <w:rPr>
          <w:sz w:val="20"/>
          <w:szCs w:val="20"/>
        </w:rPr>
      </w:pPr>
    </w:p>
    <w:p w14:paraId="28994D3A" w14:textId="63FA65AC" w:rsidR="00C03DF2" w:rsidRPr="009B6ED9" w:rsidRDefault="00C03DF2" w:rsidP="00B4512F">
      <w:pPr>
        <w:ind w:left="357"/>
        <w:jc w:val="both"/>
        <w:rPr>
          <w:sz w:val="20"/>
          <w:szCs w:val="20"/>
        </w:rPr>
      </w:pPr>
      <w:proofErr w:type="gramStart"/>
      <w:r>
        <w:rPr>
          <w:sz w:val="20"/>
          <w:szCs w:val="20"/>
        </w:rPr>
        <w:t>Subsequent to</w:t>
      </w:r>
      <w:proofErr w:type="gramEnd"/>
      <w:r>
        <w:rPr>
          <w:sz w:val="20"/>
          <w:szCs w:val="20"/>
        </w:rPr>
        <w:t xml:space="preserve"> June 30, 2021, the maturity date of the New Debentures has been extended from </w:t>
      </w:r>
      <w:r w:rsidRPr="00C03DF2">
        <w:rPr>
          <w:sz w:val="20"/>
          <w:szCs w:val="20"/>
        </w:rPr>
        <w:t>July 2022 to Dec</w:t>
      </w:r>
      <w:r>
        <w:rPr>
          <w:sz w:val="20"/>
          <w:szCs w:val="20"/>
        </w:rPr>
        <w:t>ember</w:t>
      </w:r>
      <w:r w:rsidRPr="00C03DF2">
        <w:rPr>
          <w:sz w:val="20"/>
          <w:szCs w:val="20"/>
        </w:rPr>
        <w:t xml:space="preserve"> 31, 2022</w:t>
      </w:r>
      <w:r>
        <w:rPr>
          <w:sz w:val="20"/>
          <w:szCs w:val="20"/>
        </w:rPr>
        <w:t>.</w:t>
      </w:r>
    </w:p>
    <w:p w14:paraId="632C1946" w14:textId="77777777" w:rsidR="006221F3" w:rsidRPr="009B6ED9" w:rsidRDefault="006221F3" w:rsidP="00B4512F">
      <w:pPr>
        <w:ind w:left="357"/>
        <w:jc w:val="both"/>
        <w:rPr>
          <w:sz w:val="20"/>
          <w:szCs w:val="20"/>
          <w:lang w:val="en-US"/>
        </w:rPr>
      </w:pPr>
    </w:p>
    <w:p w14:paraId="4BD19619" w14:textId="3AFD264F" w:rsidR="0037068E" w:rsidRPr="009B6ED9" w:rsidRDefault="0037068E" w:rsidP="00B4512F">
      <w:pPr>
        <w:ind w:left="357"/>
        <w:jc w:val="both"/>
        <w:rPr>
          <w:sz w:val="20"/>
          <w:szCs w:val="20"/>
        </w:rPr>
      </w:pPr>
      <w:r w:rsidRPr="009B6ED9">
        <w:rPr>
          <w:sz w:val="20"/>
          <w:szCs w:val="20"/>
        </w:rPr>
        <w:t>The following is a continuity of the Debentures</w:t>
      </w:r>
      <w:r w:rsidR="006221F3" w:rsidRPr="009B6ED9">
        <w:rPr>
          <w:sz w:val="20"/>
          <w:szCs w:val="20"/>
        </w:rPr>
        <w:t xml:space="preserve"> and New Debentures</w:t>
      </w:r>
      <w:r w:rsidRPr="009B6ED9">
        <w:rPr>
          <w:sz w:val="20"/>
          <w:szCs w:val="20"/>
        </w:rPr>
        <w:t>:</w:t>
      </w:r>
    </w:p>
    <w:p w14:paraId="6B40CBF8" w14:textId="77777777" w:rsidR="0037068E" w:rsidRPr="0007463E" w:rsidRDefault="0037068E" w:rsidP="0037068E">
      <w:pPr>
        <w:pStyle w:val="ListParagraph"/>
        <w:ind w:left="284"/>
        <w:jc w:val="both"/>
        <w:rPr>
          <w:sz w:val="20"/>
          <w:szCs w:val="20"/>
          <w:highlight w:val="yellow"/>
        </w:rPr>
      </w:pPr>
    </w:p>
    <w:tbl>
      <w:tblPr>
        <w:tblStyle w:val="TableGrid"/>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gridCol w:w="1701"/>
        <w:gridCol w:w="1488"/>
      </w:tblGrid>
      <w:tr w:rsidR="0037068E" w:rsidRPr="0007463E" w14:paraId="1CE3EB4F" w14:textId="77777777" w:rsidTr="009B6ED9">
        <w:tc>
          <w:tcPr>
            <w:tcW w:w="5953" w:type="dxa"/>
            <w:tcBorders>
              <w:top w:val="double" w:sz="4" w:space="0" w:color="auto"/>
              <w:bottom w:val="single" w:sz="4" w:space="0" w:color="auto"/>
            </w:tcBorders>
          </w:tcPr>
          <w:p w14:paraId="2FDDD0A5" w14:textId="77777777" w:rsidR="0037068E" w:rsidRPr="009B6ED9" w:rsidRDefault="0037068E" w:rsidP="0037068E">
            <w:pPr>
              <w:rPr>
                <w:sz w:val="20"/>
                <w:szCs w:val="20"/>
              </w:rPr>
            </w:pPr>
          </w:p>
        </w:tc>
        <w:tc>
          <w:tcPr>
            <w:tcW w:w="1701" w:type="dxa"/>
            <w:tcBorders>
              <w:top w:val="double" w:sz="4" w:space="0" w:color="auto"/>
              <w:bottom w:val="single" w:sz="4" w:space="0" w:color="auto"/>
            </w:tcBorders>
          </w:tcPr>
          <w:p w14:paraId="547404C7" w14:textId="5A0F3D49" w:rsidR="0037068E" w:rsidRPr="009B6ED9" w:rsidRDefault="00C117D6" w:rsidP="0037068E">
            <w:pPr>
              <w:tabs>
                <w:tab w:val="decimal" w:pos="1202"/>
              </w:tabs>
              <w:rPr>
                <w:b/>
                <w:bCs/>
                <w:sz w:val="20"/>
                <w:szCs w:val="20"/>
              </w:rPr>
            </w:pPr>
            <w:r w:rsidRPr="009B6ED9">
              <w:rPr>
                <w:b/>
                <w:bCs/>
                <w:sz w:val="20"/>
                <w:szCs w:val="20"/>
              </w:rPr>
              <w:t>June 30</w:t>
            </w:r>
            <w:r w:rsidR="0037068E" w:rsidRPr="009B6ED9">
              <w:rPr>
                <w:b/>
                <w:bCs/>
                <w:sz w:val="20"/>
                <w:szCs w:val="20"/>
              </w:rPr>
              <w:t>,</w:t>
            </w:r>
            <w:r w:rsidR="0037068E" w:rsidRPr="009B6ED9">
              <w:rPr>
                <w:b/>
                <w:bCs/>
                <w:sz w:val="20"/>
                <w:szCs w:val="20"/>
              </w:rPr>
              <w:br/>
              <w:t>2021</w:t>
            </w:r>
          </w:p>
        </w:tc>
        <w:tc>
          <w:tcPr>
            <w:tcW w:w="1488" w:type="dxa"/>
            <w:tcBorders>
              <w:top w:val="double" w:sz="4" w:space="0" w:color="auto"/>
              <w:bottom w:val="single" w:sz="4" w:space="0" w:color="auto"/>
            </w:tcBorders>
          </w:tcPr>
          <w:p w14:paraId="13897F43" w14:textId="77777777" w:rsidR="0037068E" w:rsidRPr="009B6ED9" w:rsidRDefault="0037068E" w:rsidP="0037068E">
            <w:pPr>
              <w:tabs>
                <w:tab w:val="decimal" w:pos="1202"/>
              </w:tabs>
              <w:rPr>
                <w:b/>
                <w:bCs/>
                <w:sz w:val="20"/>
                <w:szCs w:val="20"/>
              </w:rPr>
            </w:pPr>
            <w:r w:rsidRPr="009B6ED9">
              <w:rPr>
                <w:b/>
                <w:bCs/>
                <w:sz w:val="20"/>
                <w:szCs w:val="20"/>
              </w:rPr>
              <w:t>December 31,</w:t>
            </w:r>
            <w:r w:rsidRPr="009B6ED9">
              <w:rPr>
                <w:b/>
                <w:bCs/>
                <w:sz w:val="20"/>
                <w:szCs w:val="20"/>
              </w:rPr>
              <w:br/>
              <w:t>2020</w:t>
            </w:r>
          </w:p>
        </w:tc>
      </w:tr>
      <w:tr w:rsidR="00116EEF" w:rsidRPr="0007463E" w14:paraId="206B97DC" w14:textId="77777777" w:rsidTr="009B6ED9">
        <w:tc>
          <w:tcPr>
            <w:tcW w:w="5953" w:type="dxa"/>
            <w:tcBorders>
              <w:top w:val="single" w:sz="4" w:space="0" w:color="auto"/>
            </w:tcBorders>
          </w:tcPr>
          <w:p w14:paraId="6EC6F17D" w14:textId="32F11E30" w:rsidR="00116EEF" w:rsidRPr="009B6ED9" w:rsidRDefault="00116EEF" w:rsidP="00116EEF">
            <w:pPr>
              <w:rPr>
                <w:sz w:val="20"/>
                <w:szCs w:val="20"/>
              </w:rPr>
            </w:pPr>
            <w:r w:rsidRPr="009B6ED9">
              <w:rPr>
                <w:sz w:val="20"/>
                <w:szCs w:val="20"/>
              </w:rPr>
              <w:t>Balance, beginning of period</w:t>
            </w:r>
            <w:r w:rsidR="001331C4" w:rsidRPr="009B6ED9">
              <w:rPr>
                <w:sz w:val="20"/>
                <w:szCs w:val="20"/>
              </w:rPr>
              <w:t xml:space="preserve"> / year</w:t>
            </w:r>
          </w:p>
        </w:tc>
        <w:tc>
          <w:tcPr>
            <w:tcW w:w="1701" w:type="dxa"/>
            <w:tcBorders>
              <w:top w:val="single" w:sz="4" w:space="0" w:color="auto"/>
            </w:tcBorders>
            <w:vAlign w:val="center"/>
          </w:tcPr>
          <w:p w14:paraId="426A5B69" w14:textId="7D521844" w:rsidR="00116EEF" w:rsidRPr="009B6ED9" w:rsidRDefault="00116EEF" w:rsidP="00116EEF">
            <w:pPr>
              <w:tabs>
                <w:tab w:val="left" w:pos="0"/>
                <w:tab w:val="decimal" w:pos="1202"/>
              </w:tabs>
              <w:rPr>
                <w:sz w:val="20"/>
                <w:szCs w:val="20"/>
              </w:rPr>
            </w:pPr>
            <w:r w:rsidRPr="009B6ED9">
              <w:rPr>
                <w:color w:val="000000"/>
                <w:sz w:val="20"/>
                <w:szCs w:val="20"/>
              </w:rPr>
              <w:t xml:space="preserve">$          422,495 </w:t>
            </w:r>
          </w:p>
        </w:tc>
        <w:tc>
          <w:tcPr>
            <w:tcW w:w="1488" w:type="dxa"/>
            <w:tcBorders>
              <w:top w:val="single" w:sz="4" w:space="0" w:color="auto"/>
            </w:tcBorders>
          </w:tcPr>
          <w:p w14:paraId="5442C425" w14:textId="77777777" w:rsidR="00116EEF" w:rsidRPr="009B6ED9" w:rsidRDefault="00116EEF" w:rsidP="00116EEF">
            <w:pPr>
              <w:tabs>
                <w:tab w:val="left" w:pos="0"/>
                <w:tab w:val="decimal" w:pos="1202"/>
              </w:tabs>
              <w:rPr>
                <w:sz w:val="20"/>
                <w:szCs w:val="20"/>
              </w:rPr>
            </w:pPr>
            <w:r w:rsidRPr="009B6ED9">
              <w:rPr>
                <w:sz w:val="20"/>
                <w:szCs w:val="20"/>
              </w:rPr>
              <w:t>$</w:t>
            </w:r>
            <w:r w:rsidRPr="009B6ED9">
              <w:rPr>
                <w:sz w:val="20"/>
                <w:szCs w:val="20"/>
              </w:rPr>
              <w:tab/>
              <w:t>-</w:t>
            </w:r>
          </w:p>
        </w:tc>
      </w:tr>
      <w:tr w:rsidR="009B6ED9" w:rsidRPr="0007463E" w14:paraId="2947C697" w14:textId="77777777" w:rsidTr="009B6ED9">
        <w:tc>
          <w:tcPr>
            <w:tcW w:w="5953" w:type="dxa"/>
          </w:tcPr>
          <w:p w14:paraId="35D5FEB0" w14:textId="6D955726" w:rsidR="009B6ED9" w:rsidRPr="009B6ED9" w:rsidRDefault="009B6ED9" w:rsidP="00116EEF">
            <w:pPr>
              <w:ind w:left="179"/>
              <w:rPr>
                <w:sz w:val="20"/>
                <w:szCs w:val="20"/>
              </w:rPr>
            </w:pPr>
            <w:r w:rsidRPr="009B6ED9">
              <w:rPr>
                <w:sz w:val="20"/>
                <w:szCs w:val="20"/>
              </w:rPr>
              <w:t>Additions</w:t>
            </w:r>
          </w:p>
        </w:tc>
        <w:tc>
          <w:tcPr>
            <w:tcW w:w="1701" w:type="dxa"/>
            <w:vAlign w:val="center"/>
          </w:tcPr>
          <w:p w14:paraId="6D988877" w14:textId="02B6D1F3" w:rsidR="009B6ED9" w:rsidRPr="009B6ED9" w:rsidRDefault="009B6ED9" w:rsidP="00116EEF">
            <w:pPr>
              <w:tabs>
                <w:tab w:val="decimal" w:pos="1202"/>
              </w:tabs>
              <w:rPr>
                <w:color w:val="000000"/>
                <w:sz w:val="20"/>
                <w:szCs w:val="20"/>
              </w:rPr>
            </w:pPr>
            <w:r w:rsidRPr="009B6ED9">
              <w:rPr>
                <w:sz w:val="20"/>
                <w:szCs w:val="20"/>
              </w:rPr>
              <w:t>1,303,000</w:t>
            </w:r>
          </w:p>
        </w:tc>
        <w:tc>
          <w:tcPr>
            <w:tcW w:w="1488" w:type="dxa"/>
          </w:tcPr>
          <w:p w14:paraId="0FB837F7" w14:textId="323A433F" w:rsidR="009B6ED9" w:rsidRPr="009B6ED9" w:rsidRDefault="009B6ED9" w:rsidP="00116EEF">
            <w:pPr>
              <w:tabs>
                <w:tab w:val="decimal" w:pos="1202"/>
              </w:tabs>
              <w:rPr>
                <w:sz w:val="20"/>
                <w:szCs w:val="20"/>
              </w:rPr>
            </w:pPr>
            <w:r>
              <w:rPr>
                <w:sz w:val="20"/>
                <w:szCs w:val="20"/>
              </w:rPr>
              <w:t>560,000</w:t>
            </w:r>
          </w:p>
        </w:tc>
      </w:tr>
      <w:tr w:rsidR="009B6ED9" w:rsidRPr="0007463E" w14:paraId="1257C43D" w14:textId="77777777" w:rsidTr="00BA2C24">
        <w:tc>
          <w:tcPr>
            <w:tcW w:w="5953" w:type="dxa"/>
          </w:tcPr>
          <w:p w14:paraId="5CA1FF39" w14:textId="77777777" w:rsidR="009B6ED9" w:rsidRPr="009B6ED9" w:rsidRDefault="009B6ED9" w:rsidP="00BA2C24">
            <w:pPr>
              <w:ind w:left="179"/>
              <w:rPr>
                <w:sz w:val="20"/>
                <w:szCs w:val="20"/>
              </w:rPr>
            </w:pPr>
            <w:r w:rsidRPr="009B6ED9">
              <w:rPr>
                <w:sz w:val="20"/>
                <w:szCs w:val="20"/>
              </w:rPr>
              <w:t>Debt issuance costs</w:t>
            </w:r>
          </w:p>
        </w:tc>
        <w:tc>
          <w:tcPr>
            <w:tcW w:w="1701" w:type="dxa"/>
            <w:vAlign w:val="center"/>
          </w:tcPr>
          <w:p w14:paraId="4DC92824" w14:textId="77777777" w:rsidR="009B6ED9" w:rsidRPr="009B6ED9" w:rsidRDefault="009B6ED9" w:rsidP="00BA2C24">
            <w:pPr>
              <w:tabs>
                <w:tab w:val="decimal" w:pos="1202"/>
              </w:tabs>
              <w:rPr>
                <w:color w:val="000000"/>
                <w:sz w:val="20"/>
                <w:szCs w:val="20"/>
              </w:rPr>
            </w:pPr>
            <w:r w:rsidRPr="009B6ED9">
              <w:rPr>
                <w:color w:val="000000"/>
                <w:sz w:val="20"/>
                <w:szCs w:val="20"/>
              </w:rPr>
              <w:t>(49,791)</w:t>
            </w:r>
          </w:p>
        </w:tc>
        <w:tc>
          <w:tcPr>
            <w:tcW w:w="1488" w:type="dxa"/>
          </w:tcPr>
          <w:p w14:paraId="3915BF46" w14:textId="77777777" w:rsidR="009B6ED9" w:rsidRDefault="009B6ED9" w:rsidP="00BA2C24">
            <w:pPr>
              <w:tabs>
                <w:tab w:val="decimal" w:pos="1202"/>
              </w:tabs>
              <w:rPr>
                <w:sz w:val="20"/>
                <w:szCs w:val="20"/>
              </w:rPr>
            </w:pPr>
            <w:r>
              <w:rPr>
                <w:sz w:val="20"/>
                <w:szCs w:val="20"/>
              </w:rPr>
              <w:t>-</w:t>
            </w:r>
          </w:p>
        </w:tc>
      </w:tr>
      <w:tr w:rsidR="00116EEF" w:rsidRPr="0007463E" w14:paraId="3C77264F" w14:textId="77777777" w:rsidTr="009B6ED9">
        <w:tc>
          <w:tcPr>
            <w:tcW w:w="5953" w:type="dxa"/>
          </w:tcPr>
          <w:p w14:paraId="7CE2C56F" w14:textId="77777777" w:rsidR="00116EEF" w:rsidRPr="009B6ED9" w:rsidRDefault="00116EEF" w:rsidP="00116EEF">
            <w:pPr>
              <w:ind w:left="179"/>
              <w:rPr>
                <w:sz w:val="20"/>
                <w:szCs w:val="20"/>
              </w:rPr>
            </w:pPr>
            <w:r w:rsidRPr="009B6ED9">
              <w:rPr>
                <w:sz w:val="20"/>
                <w:szCs w:val="20"/>
              </w:rPr>
              <w:t>Payments</w:t>
            </w:r>
          </w:p>
        </w:tc>
        <w:tc>
          <w:tcPr>
            <w:tcW w:w="1701" w:type="dxa"/>
            <w:vAlign w:val="center"/>
          </w:tcPr>
          <w:p w14:paraId="458B3158" w14:textId="719A4B00" w:rsidR="00116EEF" w:rsidRPr="009B6ED9" w:rsidRDefault="00116EEF" w:rsidP="00116EEF">
            <w:pPr>
              <w:tabs>
                <w:tab w:val="decimal" w:pos="1202"/>
              </w:tabs>
              <w:rPr>
                <w:sz w:val="20"/>
                <w:szCs w:val="20"/>
              </w:rPr>
            </w:pPr>
            <w:r w:rsidRPr="009B6ED9">
              <w:rPr>
                <w:color w:val="000000"/>
                <w:sz w:val="20"/>
                <w:szCs w:val="20"/>
              </w:rPr>
              <w:t>(10,741)</w:t>
            </w:r>
          </w:p>
        </w:tc>
        <w:tc>
          <w:tcPr>
            <w:tcW w:w="1488" w:type="dxa"/>
          </w:tcPr>
          <w:p w14:paraId="50EA02B8" w14:textId="77777777" w:rsidR="00116EEF" w:rsidRPr="009B6ED9" w:rsidRDefault="00116EEF" w:rsidP="00116EEF">
            <w:pPr>
              <w:tabs>
                <w:tab w:val="decimal" w:pos="1202"/>
              </w:tabs>
              <w:rPr>
                <w:sz w:val="20"/>
                <w:szCs w:val="20"/>
              </w:rPr>
            </w:pPr>
            <w:r w:rsidRPr="009B6ED9">
              <w:rPr>
                <w:sz w:val="20"/>
                <w:szCs w:val="20"/>
              </w:rPr>
              <w:t>(27,173)</w:t>
            </w:r>
          </w:p>
        </w:tc>
      </w:tr>
      <w:tr w:rsidR="00116EEF" w:rsidRPr="0007463E" w14:paraId="626717B9" w14:textId="77777777" w:rsidTr="009B6ED9">
        <w:tc>
          <w:tcPr>
            <w:tcW w:w="5953" w:type="dxa"/>
          </w:tcPr>
          <w:p w14:paraId="420579E5" w14:textId="77777777" w:rsidR="00116EEF" w:rsidRPr="009B6ED9" w:rsidRDefault="00116EEF" w:rsidP="00116EEF">
            <w:pPr>
              <w:ind w:left="179"/>
              <w:rPr>
                <w:sz w:val="20"/>
                <w:szCs w:val="20"/>
              </w:rPr>
            </w:pPr>
            <w:r w:rsidRPr="009B6ED9">
              <w:rPr>
                <w:sz w:val="20"/>
                <w:szCs w:val="20"/>
              </w:rPr>
              <w:t>Redemption</w:t>
            </w:r>
          </w:p>
        </w:tc>
        <w:tc>
          <w:tcPr>
            <w:tcW w:w="1701" w:type="dxa"/>
            <w:vAlign w:val="center"/>
          </w:tcPr>
          <w:p w14:paraId="3BB2E8CA" w14:textId="6D31E0FC" w:rsidR="00116EEF" w:rsidRPr="009B6ED9" w:rsidRDefault="00116EEF" w:rsidP="00116EEF">
            <w:pPr>
              <w:tabs>
                <w:tab w:val="decimal" w:pos="1202"/>
              </w:tabs>
              <w:rPr>
                <w:sz w:val="20"/>
                <w:szCs w:val="20"/>
              </w:rPr>
            </w:pPr>
            <w:r w:rsidRPr="009B6ED9">
              <w:rPr>
                <w:color w:val="000000"/>
                <w:sz w:val="20"/>
                <w:szCs w:val="20"/>
              </w:rPr>
              <w:t>(424,700)</w:t>
            </w:r>
          </w:p>
        </w:tc>
        <w:tc>
          <w:tcPr>
            <w:tcW w:w="1488" w:type="dxa"/>
          </w:tcPr>
          <w:p w14:paraId="20792402" w14:textId="77777777" w:rsidR="00116EEF" w:rsidRPr="009B6ED9" w:rsidRDefault="00116EEF" w:rsidP="00116EEF">
            <w:pPr>
              <w:tabs>
                <w:tab w:val="decimal" w:pos="1202"/>
              </w:tabs>
              <w:rPr>
                <w:sz w:val="20"/>
                <w:szCs w:val="20"/>
              </w:rPr>
            </w:pPr>
            <w:r w:rsidRPr="009B6ED9">
              <w:rPr>
                <w:sz w:val="20"/>
                <w:szCs w:val="20"/>
              </w:rPr>
              <w:t>(156,627)</w:t>
            </w:r>
          </w:p>
        </w:tc>
      </w:tr>
      <w:tr w:rsidR="00116EEF" w:rsidRPr="0007463E" w14:paraId="27A4437F" w14:textId="77777777" w:rsidTr="009B6ED9">
        <w:tc>
          <w:tcPr>
            <w:tcW w:w="5953" w:type="dxa"/>
          </w:tcPr>
          <w:p w14:paraId="2805FA7C" w14:textId="77777777" w:rsidR="00116EEF" w:rsidRPr="009B6ED9" w:rsidRDefault="00116EEF" w:rsidP="00116EEF">
            <w:pPr>
              <w:ind w:left="179"/>
              <w:rPr>
                <w:sz w:val="20"/>
                <w:szCs w:val="20"/>
              </w:rPr>
            </w:pPr>
            <w:r w:rsidRPr="009B6ED9">
              <w:rPr>
                <w:sz w:val="20"/>
                <w:szCs w:val="20"/>
              </w:rPr>
              <w:t>Interest on convertible debentures</w:t>
            </w:r>
          </w:p>
        </w:tc>
        <w:tc>
          <w:tcPr>
            <w:tcW w:w="1701" w:type="dxa"/>
            <w:vAlign w:val="center"/>
          </w:tcPr>
          <w:p w14:paraId="6A67E66A" w14:textId="2F4FA589" w:rsidR="00116EEF" w:rsidRPr="009B6ED9" w:rsidRDefault="00116EEF" w:rsidP="00116EEF">
            <w:pPr>
              <w:tabs>
                <w:tab w:val="decimal" w:pos="1202"/>
              </w:tabs>
              <w:rPr>
                <w:sz w:val="20"/>
                <w:szCs w:val="20"/>
              </w:rPr>
            </w:pPr>
            <w:r w:rsidRPr="009B6ED9">
              <w:rPr>
                <w:color w:val="000000"/>
                <w:sz w:val="20"/>
                <w:szCs w:val="20"/>
              </w:rPr>
              <w:t xml:space="preserve">7,292 </w:t>
            </w:r>
          </w:p>
        </w:tc>
        <w:tc>
          <w:tcPr>
            <w:tcW w:w="1488" w:type="dxa"/>
          </w:tcPr>
          <w:p w14:paraId="7BD7FA24" w14:textId="77777777" w:rsidR="00116EEF" w:rsidRPr="009B6ED9" w:rsidRDefault="00116EEF" w:rsidP="00116EEF">
            <w:pPr>
              <w:tabs>
                <w:tab w:val="decimal" w:pos="1202"/>
              </w:tabs>
              <w:rPr>
                <w:sz w:val="20"/>
                <w:szCs w:val="20"/>
              </w:rPr>
            </w:pPr>
            <w:r w:rsidRPr="009B6ED9">
              <w:rPr>
                <w:sz w:val="20"/>
                <w:szCs w:val="20"/>
              </w:rPr>
              <w:t>48,729</w:t>
            </w:r>
          </w:p>
        </w:tc>
      </w:tr>
      <w:tr w:rsidR="00116EEF" w:rsidRPr="0007463E" w14:paraId="1BA52A09" w14:textId="77777777" w:rsidTr="009B6ED9">
        <w:tc>
          <w:tcPr>
            <w:tcW w:w="5953" w:type="dxa"/>
          </w:tcPr>
          <w:p w14:paraId="63BE21E5" w14:textId="77777777" w:rsidR="00116EEF" w:rsidRPr="009B6ED9" w:rsidRDefault="00116EEF" w:rsidP="00116EEF">
            <w:pPr>
              <w:ind w:left="179"/>
              <w:rPr>
                <w:sz w:val="20"/>
                <w:szCs w:val="20"/>
              </w:rPr>
            </w:pPr>
            <w:r w:rsidRPr="009B6ED9">
              <w:rPr>
                <w:sz w:val="20"/>
                <w:szCs w:val="20"/>
              </w:rPr>
              <w:t>Accretion of convertible debentures</w:t>
            </w:r>
          </w:p>
        </w:tc>
        <w:tc>
          <w:tcPr>
            <w:tcW w:w="1701" w:type="dxa"/>
            <w:vAlign w:val="center"/>
          </w:tcPr>
          <w:p w14:paraId="1740970D" w14:textId="0BF8D06E" w:rsidR="00116EEF" w:rsidRPr="009B6ED9" w:rsidRDefault="009B6ED9" w:rsidP="00116EEF">
            <w:pPr>
              <w:tabs>
                <w:tab w:val="decimal" w:pos="1202"/>
              </w:tabs>
              <w:rPr>
                <w:sz w:val="20"/>
                <w:szCs w:val="20"/>
              </w:rPr>
            </w:pPr>
            <w:r w:rsidRPr="009B6ED9">
              <w:rPr>
                <w:color w:val="000000"/>
                <w:sz w:val="20"/>
                <w:szCs w:val="20"/>
              </w:rPr>
              <w:t>21,851</w:t>
            </w:r>
            <w:r w:rsidR="00116EEF" w:rsidRPr="009B6ED9">
              <w:rPr>
                <w:color w:val="000000"/>
                <w:sz w:val="20"/>
                <w:szCs w:val="20"/>
              </w:rPr>
              <w:t xml:space="preserve"> </w:t>
            </w:r>
          </w:p>
        </w:tc>
        <w:tc>
          <w:tcPr>
            <w:tcW w:w="1488" w:type="dxa"/>
          </w:tcPr>
          <w:p w14:paraId="4E0E74D7" w14:textId="77777777" w:rsidR="00116EEF" w:rsidRPr="009B6ED9" w:rsidRDefault="00116EEF" w:rsidP="00116EEF">
            <w:pPr>
              <w:tabs>
                <w:tab w:val="decimal" w:pos="1202"/>
              </w:tabs>
              <w:rPr>
                <w:sz w:val="20"/>
                <w:szCs w:val="20"/>
              </w:rPr>
            </w:pPr>
            <w:r w:rsidRPr="009B6ED9">
              <w:rPr>
                <w:sz w:val="20"/>
                <w:szCs w:val="20"/>
              </w:rPr>
              <w:t>24,913</w:t>
            </w:r>
          </w:p>
        </w:tc>
      </w:tr>
      <w:tr w:rsidR="00116EEF" w:rsidRPr="0007463E" w14:paraId="7443F3AB" w14:textId="77777777" w:rsidTr="009B6ED9">
        <w:tc>
          <w:tcPr>
            <w:tcW w:w="5953" w:type="dxa"/>
            <w:tcBorders>
              <w:top w:val="single" w:sz="4" w:space="0" w:color="auto"/>
              <w:bottom w:val="single" w:sz="4" w:space="0" w:color="auto"/>
            </w:tcBorders>
          </w:tcPr>
          <w:p w14:paraId="2A4A4B26" w14:textId="77777777" w:rsidR="00116EEF" w:rsidRPr="009B6ED9" w:rsidRDefault="00116EEF" w:rsidP="00116EEF">
            <w:pPr>
              <w:rPr>
                <w:sz w:val="20"/>
                <w:szCs w:val="20"/>
              </w:rPr>
            </w:pPr>
          </w:p>
        </w:tc>
        <w:tc>
          <w:tcPr>
            <w:tcW w:w="1701" w:type="dxa"/>
            <w:tcBorders>
              <w:top w:val="single" w:sz="4" w:space="0" w:color="auto"/>
              <w:bottom w:val="single" w:sz="4" w:space="0" w:color="auto"/>
            </w:tcBorders>
          </w:tcPr>
          <w:p w14:paraId="3A0DA73B" w14:textId="01EEAC2F" w:rsidR="00116EEF" w:rsidRPr="009B6ED9" w:rsidRDefault="00116EEF" w:rsidP="00116EEF">
            <w:pPr>
              <w:tabs>
                <w:tab w:val="left" w:pos="0"/>
                <w:tab w:val="decimal" w:pos="1202"/>
              </w:tabs>
              <w:rPr>
                <w:sz w:val="20"/>
                <w:szCs w:val="20"/>
              </w:rPr>
            </w:pPr>
            <w:r w:rsidRPr="009B6ED9">
              <w:rPr>
                <w:sz w:val="20"/>
                <w:szCs w:val="20"/>
              </w:rPr>
              <w:tab/>
            </w:r>
            <w:r w:rsidR="009B6ED9" w:rsidRPr="009B6ED9">
              <w:rPr>
                <w:sz w:val="20"/>
                <w:szCs w:val="20"/>
              </w:rPr>
              <w:t>1,269,406</w:t>
            </w:r>
          </w:p>
        </w:tc>
        <w:tc>
          <w:tcPr>
            <w:tcW w:w="1488" w:type="dxa"/>
            <w:tcBorders>
              <w:top w:val="single" w:sz="4" w:space="0" w:color="auto"/>
              <w:bottom w:val="single" w:sz="4" w:space="0" w:color="auto"/>
            </w:tcBorders>
          </w:tcPr>
          <w:p w14:paraId="349C8916" w14:textId="77777777" w:rsidR="00116EEF" w:rsidRPr="009B6ED9" w:rsidRDefault="00116EEF" w:rsidP="00116EEF">
            <w:pPr>
              <w:tabs>
                <w:tab w:val="left" w:pos="0"/>
                <w:tab w:val="decimal" w:pos="1202"/>
              </w:tabs>
              <w:rPr>
                <w:sz w:val="20"/>
                <w:szCs w:val="20"/>
              </w:rPr>
            </w:pPr>
            <w:r w:rsidRPr="009B6ED9">
              <w:rPr>
                <w:sz w:val="20"/>
                <w:szCs w:val="20"/>
              </w:rPr>
              <w:tab/>
              <w:t>449,842</w:t>
            </w:r>
          </w:p>
        </w:tc>
      </w:tr>
      <w:tr w:rsidR="00116EEF" w:rsidRPr="0007463E" w14:paraId="2A88DF15" w14:textId="77777777" w:rsidTr="009B6ED9">
        <w:tc>
          <w:tcPr>
            <w:tcW w:w="5953" w:type="dxa"/>
            <w:tcBorders>
              <w:top w:val="single" w:sz="4" w:space="0" w:color="auto"/>
              <w:bottom w:val="single" w:sz="4" w:space="0" w:color="auto"/>
            </w:tcBorders>
          </w:tcPr>
          <w:p w14:paraId="6DE7EFCA" w14:textId="6360B4A5" w:rsidR="00116EEF" w:rsidRPr="009B6ED9" w:rsidRDefault="00116EEF" w:rsidP="00116EEF">
            <w:pPr>
              <w:rPr>
                <w:sz w:val="20"/>
                <w:szCs w:val="20"/>
              </w:rPr>
            </w:pPr>
            <w:r w:rsidRPr="009B6ED9">
              <w:rPr>
                <w:sz w:val="20"/>
                <w:szCs w:val="20"/>
              </w:rPr>
              <w:t>Equity component of convertible debenture</w:t>
            </w:r>
            <w:r w:rsidR="009B6ED9" w:rsidRPr="009B6ED9">
              <w:rPr>
                <w:sz w:val="20"/>
                <w:szCs w:val="20"/>
              </w:rPr>
              <w:t>s</w:t>
            </w:r>
          </w:p>
        </w:tc>
        <w:tc>
          <w:tcPr>
            <w:tcW w:w="1701" w:type="dxa"/>
            <w:tcBorders>
              <w:top w:val="single" w:sz="4" w:space="0" w:color="auto"/>
              <w:bottom w:val="single" w:sz="4" w:space="0" w:color="auto"/>
            </w:tcBorders>
          </w:tcPr>
          <w:p w14:paraId="692E1E89" w14:textId="383349E8" w:rsidR="00116EEF" w:rsidRPr="009B6ED9" w:rsidRDefault="00116EEF" w:rsidP="00116EEF">
            <w:pPr>
              <w:tabs>
                <w:tab w:val="left" w:pos="0"/>
                <w:tab w:val="decimal" w:pos="1202"/>
              </w:tabs>
              <w:rPr>
                <w:sz w:val="20"/>
                <w:szCs w:val="20"/>
              </w:rPr>
            </w:pPr>
            <w:r w:rsidRPr="009B6ED9">
              <w:rPr>
                <w:sz w:val="20"/>
                <w:szCs w:val="20"/>
              </w:rPr>
              <w:tab/>
            </w:r>
            <w:r w:rsidR="009B6ED9" w:rsidRPr="009B6ED9">
              <w:rPr>
                <w:sz w:val="20"/>
                <w:szCs w:val="20"/>
              </w:rPr>
              <w:t>(73,403)</w:t>
            </w:r>
          </w:p>
        </w:tc>
        <w:tc>
          <w:tcPr>
            <w:tcW w:w="1488" w:type="dxa"/>
            <w:tcBorders>
              <w:top w:val="single" w:sz="4" w:space="0" w:color="auto"/>
              <w:bottom w:val="single" w:sz="4" w:space="0" w:color="auto"/>
            </w:tcBorders>
          </w:tcPr>
          <w:p w14:paraId="39B331C3" w14:textId="77777777" w:rsidR="00116EEF" w:rsidRPr="009B6ED9" w:rsidRDefault="00116EEF" w:rsidP="00116EEF">
            <w:pPr>
              <w:tabs>
                <w:tab w:val="left" w:pos="0"/>
                <w:tab w:val="decimal" w:pos="1202"/>
              </w:tabs>
              <w:rPr>
                <w:sz w:val="20"/>
                <w:szCs w:val="20"/>
              </w:rPr>
            </w:pPr>
            <w:r w:rsidRPr="009B6ED9">
              <w:rPr>
                <w:sz w:val="20"/>
                <w:szCs w:val="20"/>
              </w:rPr>
              <w:t xml:space="preserve">           (27,347)</w:t>
            </w:r>
          </w:p>
        </w:tc>
      </w:tr>
      <w:tr w:rsidR="00116EEF" w:rsidRPr="0007463E" w14:paraId="53CB32CD" w14:textId="77777777" w:rsidTr="009B6ED9">
        <w:tc>
          <w:tcPr>
            <w:tcW w:w="5953" w:type="dxa"/>
            <w:tcBorders>
              <w:top w:val="single" w:sz="4" w:space="0" w:color="auto"/>
              <w:bottom w:val="double" w:sz="4" w:space="0" w:color="auto"/>
            </w:tcBorders>
          </w:tcPr>
          <w:p w14:paraId="5FE2E8EA" w14:textId="77031130" w:rsidR="00116EEF" w:rsidRPr="009B6ED9" w:rsidRDefault="00116EEF" w:rsidP="00116EEF">
            <w:pPr>
              <w:rPr>
                <w:sz w:val="20"/>
                <w:szCs w:val="20"/>
              </w:rPr>
            </w:pPr>
            <w:r w:rsidRPr="009B6ED9">
              <w:rPr>
                <w:sz w:val="20"/>
                <w:szCs w:val="20"/>
              </w:rPr>
              <w:t>Balance, end of period</w:t>
            </w:r>
            <w:r w:rsidR="001331C4" w:rsidRPr="009B6ED9">
              <w:rPr>
                <w:sz w:val="20"/>
                <w:szCs w:val="20"/>
              </w:rPr>
              <w:t xml:space="preserve"> / year</w:t>
            </w:r>
          </w:p>
        </w:tc>
        <w:tc>
          <w:tcPr>
            <w:tcW w:w="1701" w:type="dxa"/>
            <w:tcBorders>
              <w:top w:val="single" w:sz="4" w:space="0" w:color="auto"/>
              <w:bottom w:val="double" w:sz="4" w:space="0" w:color="auto"/>
            </w:tcBorders>
          </w:tcPr>
          <w:p w14:paraId="7072E168" w14:textId="381CDACD" w:rsidR="00116EEF" w:rsidRPr="009B6ED9" w:rsidRDefault="00116EEF" w:rsidP="009B6ED9">
            <w:pPr>
              <w:tabs>
                <w:tab w:val="left" w:pos="0"/>
                <w:tab w:val="decimal" w:pos="1202"/>
              </w:tabs>
              <w:rPr>
                <w:sz w:val="20"/>
                <w:szCs w:val="20"/>
              </w:rPr>
            </w:pPr>
            <w:r w:rsidRPr="009B6ED9">
              <w:rPr>
                <w:sz w:val="20"/>
                <w:szCs w:val="20"/>
              </w:rPr>
              <w:t xml:space="preserve">$       </w:t>
            </w:r>
            <w:r w:rsidR="009B6ED9" w:rsidRPr="009B6ED9">
              <w:rPr>
                <w:sz w:val="20"/>
                <w:szCs w:val="20"/>
              </w:rPr>
              <w:t>1,196,003</w:t>
            </w:r>
          </w:p>
        </w:tc>
        <w:tc>
          <w:tcPr>
            <w:tcW w:w="1488" w:type="dxa"/>
            <w:tcBorders>
              <w:top w:val="single" w:sz="4" w:space="0" w:color="auto"/>
              <w:bottom w:val="double" w:sz="4" w:space="0" w:color="auto"/>
            </w:tcBorders>
          </w:tcPr>
          <w:p w14:paraId="03A10861" w14:textId="77777777" w:rsidR="00116EEF" w:rsidRPr="009B6ED9" w:rsidRDefault="00116EEF" w:rsidP="00116EEF">
            <w:pPr>
              <w:tabs>
                <w:tab w:val="left" w:pos="0"/>
                <w:tab w:val="decimal" w:pos="1202"/>
              </w:tabs>
              <w:rPr>
                <w:sz w:val="20"/>
                <w:szCs w:val="20"/>
              </w:rPr>
            </w:pPr>
            <w:r w:rsidRPr="009B6ED9">
              <w:rPr>
                <w:sz w:val="20"/>
                <w:szCs w:val="20"/>
              </w:rPr>
              <w:t>$          422,495</w:t>
            </w:r>
          </w:p>
        </w:tc>
      </w:tr>
    </w:tbl>
    <w:p w14:paraId="3568B9D7" w14:textId="1534E2D6" w:rsidR="0037068E" w:rsidRPr="0007463E" w:rsidRDefault="0037068E" w:rsidP="0037068E">
      <w:pPr>
        <w:ind w:left="357"/>
        <w:jc w:val="both"/>
        <w:rPr>
          <w:sz w:val="20"/>
          <w:szCs w:val="20"/>
          <w:highlight w:val="yellow"/>
        </w:rPr>
      </w:pPr>
    </w:p>
    <w:p w14:paraId="5F243198" w14:textId="77777777" w:rsidR="00E76ECD" w:rsidRPr="00096524" w:rsidRDefault="00E76ECD" w:rsidP="00371BEA">
      <w:pPr>
        <w:pStyle w:val="ListParagraph"/>
        <w:numPr>
          <w:ilvl w:val="0"/>
          <w:numId w:val="28"/>
        </w:numPr>
        <w:ind w:left="284"/>
        <w:jc w:val="both"/>
        <w:rPr>
          <w:b/>
          <w:bCs/>
          <w:sz w:val="20"/>
          <w:szCs w:val="20"/>
        </w:rPr>
      </w:pPr>
      <w:r w:rsidRPr="00096524">
        <w:rPr>
          <w:b/>
          <w:bCs/>
          <w:sz w:val="20"/>
          <w:szCs w:val="20"/>
        </w:rPr>
        <w:t>LOANS PAYABLE</w:t>
      </w:r>
    </w:p>
    <w:p w14:paraId="0A8F7AA6" w14:textId="77777777" w:rsidR="00E76ECD" w:rsidRPr="00096524" w:rsidRDefault="00E76ECD" w:rsidP="00E76ECD">
      <w:pPr>
        <w:jc w:val="both"/>
        <w:rPr>
          <w:sz w:val="20"/>
          <w:szCs w:val="20"/>
        </w:rPr>
      </w:pPr>
    </w:p>
    <w:p w14:paraId="3D60F165" w14:textId="7DD57B78" w:rsidR="00E76ECD" w:rsidRDefault="00E76ECD" w:rsidP="00E76ECD">
      <w:pPr>
        <w:pStyle w:val="ListParagraph"/>
        <w:ind w:left="284"/>
        <w:jc w:val="both"/>
        <w:rPr>
          <w:sz w:val="20"/>
          <w:szCs w:val="20"/>
        </w:rPr>
      </w:pPr>
      <w:r w:rsidRPr="00096524">
        <w:rPr>
          <w:sz w:val="20"/>
          <w:szCs w:val="20"/>
        </w:rPr>
        <w:t xml:space="preserve">As part of the Government of Canada’s response to the COVID-19 global pandemic, certain businesses were eligible to apply for loans under the Canada Emergency Business Account (“CEBA”). The CEBA loan program provides companies with a $40,000 interest free loan to be used to cover non-deferrable operating expenses during the period where operations had been temporarily reduced due to the economic impacts of the COVID-19 virus.  During the year ended December 31, 2020, the Company received a $40,000 CEBA loan (the “CEBA Loan”). The CEBA Loan remains interest free until December 31, </w:t>
      </w:r>
      <w:proofErr w:type="gramStart"/>
      <w:r w:rsidRPr="00096524">
        <w:rPr>
          <w:sz w:val="20"/>
          <w:szCs w:val="20"/>
        </w:rPr>
        <w:t>2022</w:t>
      </w:r>
      <w:proofErr w:type="gramEnd"/>
      <w:r w:rsidRPr="00096524">
        <w:rPr>
          <w:sz w:val="20"/>
          <w:szCs w:val="20"/>
        </w:rPr>
        <w:t xml:space="preserve"> and has no fixed repayment schedule. If $30,000 is repaid on or before December 31, 2022, the remaining $10,000 will be forgiven. If any amount remains unpaid </w:t>
      </w:r>
      <w:proofErr w:type="gramStart"/>
      <w:r w:rsidRPr="00096524">
        <w:rPr>
          <w:sz w:val="20"/>
          <w:szCs w:val="20"/>
        </w:rPr>
        <w:t>at</w:t>
      </w:r>
      <w:proofErr w:type="gramEnd"/>
      <w:r w:rsidRPr="00096524">
        <w:rPr>
          <w:sz w:val="20"/>
          <w:szCs w:val="20"/>
        </w:rPr>
        <w:t xml:space="preserve"> December 31, 2022, the Company will enter into an extension agreement whereby it will accrue interest at 5% per annum, with a repayment schedule to be determined at that time.</w:t>
      </w:r>
    </w:p>
    <w:p w14:paraId="01EEAB40" w14:textId="324A6840" w:rsidR="00CE4DC9" w:rsidRDefault="00CE4DC9" w:rsidP="00E76ECD">
      <w:pPr>
        <w:pStyle w:val="ListParagraph"/>
        <w:ind w:left="284"/>
        <w:jc w:val="both"/>
        <w:rPr>
          <w:sz w:val="20"/>
          <w:szCs w:val="20"/>
        </w:rPr>
      </w:pPr>
    </w:p>
    <w:p w14:paraId="6B8E381D" w14:textId="1C979AFC" w:rsidR="00CE4DC9" w:rsidRPr="00096524" w:rsidRDefault="00CE4DC9" w:rsidP="00E76ECD">
      <w:pPr>
        <w:pStyle w:val="ListParagraph"/>
        <w:ind w:left="284"/>
        <w:jc w:val="both"/>
        <w:rPr>
          <w:sz w:val="20"/>
          <w:szCs w:val="20"/>
        </w:rPr>
      </w:pPr>
      <w:r>
        <w:rPr>
          <w:sz w:val="20"/>
          <w:szCs w:val="20"/>
        </w:rPr>
        <w:t xml:space="preserve">As part of the acquisition of </w:t>
      </w:r>
      <w:proofErr w:type="spellStart"/>
      <w:r>
        <w:rPr>
          <w:sz w:val="20"/>
          <w:szCs w:val="20"/>
        </w:rPr>
        <w:t>Inverite</w:t>
      </w:r>
      <w:proofErr w:type="spellEnd"/>
      <w:r>
        <w:rPr>
          <w:sz w:val="20"/>
          <w:szCs w:val="20"/>
        </w:rPr>
        <w:t>, the Company acquired an additional $30,000 of CEBA loans under the same repayment terms as the CEBA Loan.</w:t>
      </w:r>
    </w:p>
    <w:p w14:paraId="4B198748" w14:textId="77777777" w:rsidR="00E76ECD" w:rsidRPr="00096524" w:rsidRDefault="00E76ECD" w:rsidP="00E76ECD">
      <w:pPr>
        <w:ind w:left="284"/>
        <w:jc w:val="both"/>
        <w:rPr>
          <w:sz w:val="20"/>
          <w:szCs w:val="20"/>
        </w:rPr>
      </w:pPr>
    </w:p>
    <w:p w14:paraId="2D67BBF6" w14:textId="774A1918" w:rsidR="00E76ECD" w:rsidRPr="00096524" w:rsidRDefault="00E76ECD" w:rsidP="00E76ECD">
      <w:pPr>
        <w:ind w:left="284"/>
        <w:jc w:val="both"/>
        <w:rPr>
          <w:sz w:val="20"/>
          <w:szCs w:val="20"/>
        </w:rPr>
      </w:pPr>
      <w:r w:rsidRPr="00096524">
        <w:rPr>
          <w:sz w:val="20"/>
          <w:szCs w:val="20"/>
        </w:rPr>
        <w:t xml:space="preserve">The Company has made no repayments on the CEBA Loan during the </w:t>
      </w:r>
      <w:r w:rsidR="00491758" w:rsidRPr="00096524">
        <w:rPr>
          <w:sz w:val="20"/>
          <w:szCs w:val="20"/>
        </w:rPr>
        <w:t xml:space="preserve">period ended </w:t>
      </w:r>
      <w:r w:rsidR="00C117D6" w:rsidRPr="00096524">
        <w:rPr>
          <w:sz w:val="20"/>
          <w:szCs w:val="20"/>
        </w:rPr>
        <w:t>June 30</w:t>
      </w:r>
      <w:r w:rsidR="00491758" w:rsidRPr="00096524">
        <w:rPr>
          <w:sz w:val="20"/>
          <w:szCs w:val="20"/>
        </w:rPr>
        <w:t>, 2021</w:t>
      </w:r>
      <w:r w:rsidRPr="00096524">
        <w:rPr>
          <w:sz w:val="20"/>
          <w:szCs w:val="20"/>
        </w:rPr>
        <w:t>. The following is a summary of the Company’s loans payable:</w:t>
      </w:r>
    </w:p>
    <w:p w14:paraId="7FA287EE" w14:textId="77777777" w:rsidR="00E76ECD" w:rsidRPr="0007463E" w:rsidRDefault="00E76ECD" w:rsidP="00E76ECD">
      <w:pPr>
        <w:pStyle w:val="ListParagraph"/>
        <w:ind w:left="284"/>
        <w:jc w:val="both"/>
        <w:rPr>
          <w:sz w:val="20"/>
          <w:szCs w:val="20"/>
          <w:highlight w:val="yellow"/>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E76ECD" w:rsidRPr="0007463E" w14:paraId="2B3BCA47" w14:textId="77777777" w:rsidTr="00E60C9A">
        <w:tc>
          <w:tcPr>
            <w:tcW w:w="6090" w:type="dxa"/>
            <w:tcBorders>
              <w:top w:val="double" w:sz="4" w:space="0" w:color="auto"/>
              <w:bottom w:val="single" w:sz="4" w:space="0" w:color="auto"/>
            </w:tcBorders>
          </w:tcPr>
          <w:p w14:paraId="1945C52D" w14:textId="77777777" w:rsidR="00E76ECD" w:rsidRPr="00096524" w:rsidRDefault="00E76ECD" w:rsidP="00E76ECD">
            <w:pPr>
              <w:rPr>
                <w:sz w:val="20"/>
                <w:szCs w:val="20"/>
              </w:rPr>
            </w:pPr>
          </w:p>
        </w:tc>
        <w:tc>
          <w:tcPr>
            <w:tcW w:w="1488" w:type="dxa"/>
            <w:tcBorders>
              <w:top w:val="double" w:sz="4" w:space="0" w:color="auto"/>
              <w:bottom w:val="single" w:sz="4" w:space="0" w:color="auto"/>
            </w:tcBorders>
          </w:tcPr>
          <w:p w14:paraId="24AA11D0" w14:textId="6B0B2CD2" w:rsidR="00E76ECD" w:rsidRPr="00096524" w:rsidRDefault="00C117D6" w:rsidP="00E76ECD">
            <w:pPr>
              <w:tabs>
                <w:tab w:val="decimal" w:pos="1202"/>
              </w:tabs>
              <w:rPr>
                <w:b/>
                <w:bCs/>
                <w:sz w:val="20"/>
                <w:szCs w:val="20"/>
              </w:rPr>
            </w:pPr>
            <w:r w:rsidRPr="00096524">
              <w:rPr>
                <w:b/>
                <w:bCs/>
                <w:sz w:val="20"/>
                <w:szCs w:val="20"/>
              </w:rPr>
              <w:t>June 30</w:t>
            </w:r>
            <w:r w:rsidR="00E76ECD" w:rsidRPr="00096524">
              <w:rPr>
                <w:b/>
                <w:bCs/>
                <w:sz w:val="20"/>
                <w:szCs w:val="20"/>
              </w:rPr>
              <w:t>,</w:t>
            </w:r>
          </w:p>
          <w:p w14:paraId="2B7A1076" w14:textId="5795A301" w:rsidR="00E76ECD" w:rsidRPr="00096524" w:rsidRDefault="00E76ECD" w:rsidP="00E76ECD">
            <w:pPr>
              <w:tabs>
                <w:tab w:val="decimal" w:pos="1202"/>
              </w:tabs>
              <w:rPr>
                <w:b/>
                <w:bCs/>
                <w:sz w:val="20"/>
                <w:szCs w:val="20"/>
              </w:rPr>
            </w:pPr>
            <w:r w:rsidRPr="00096524">
              <w:rPr>
                <w:b/>
                <w:bCs/>
                <w:sz w:val="20"/>
                <w:szCs w:val="20"/>
              </w:rPr>
              <w:t xml:space="preserve"> 2021</w:t>
            </w:r>
          </w:p>
        </w:tc>
        <w:tc>
          <w:tcPr>
            <w:tcW w:w="1488" w:type="dxa"/>
            <w:tcBorders>
              <w:top w:val="double" w:sz="4" w:space="0" w:color="auto"/>
              <w:bottom w:val="single" w:sz="4" w:space="0" w:color="auto"/>
            </w:tcBorders>
          </w:tcPr>
          <w:p w14:paraId="6B8AA1F9" w14:textId="77777777" w:rsidR="00E76ECD" w:rsidRPr="00096524" w:rsidRDefault="00E76ECD" w:rsidP="00E76ECD">
            <w:pPr>
              <w:tabs>
                <w:tab w:val="decimal" w:pos="1202"/>
              </w:tabs>
              <w:rPr>
                <w:b/>
                <w:bCs/>
                <w:sz w:val="20"/>
                <w:szCs w:val="20"/>
              </w:rPr>
            </w:pPr>
            <w:r w:rsidRPr="00096524">
              <w:rPr>
                <w:b/>
                <w:bCs/>
                <w:sz w:val="20"/>
                <w:szCs w:val="20"/>
              </w:rPr>
              <w:t>December 31,</w:t>
            </w:r>
          </w:p>
          <w:p w14:paraId="04D645AE" w14:textId="4074C485" w:rsidR="00E76ECD" w:rsidRPr="00096524" w:rsidRDefault="00E76ECD" w:rsidP="00E76ECD">
            <w:pPr>
              <w:tabs>
                <w:tab w:val="decimal" w:pos="1202"/>
              </w:tabs>
              <w:rPr>
                <w:b/>
                <w:bCs/>
                <w:sz w:val="20"/>
                <w:szCs w:val="20"/>
              </w:rPr>
            </w:pPr>
            <w:r w:rsidRPr="00096524">
              <w:rPr>
                <w:b/>
                <w:bCs/>
                <w:sz w:val="20"/>
                <w:szCs w:val="20"/>
              </w:rPr>
              <w:t xml:space="preserve"> 2020</w:t>
            </w:r>
          </w:p>
        </w:tc>
      </w:tr>
      <w:tr w:rsidR="00E76ECD" w:rsidRPr="0007463E" w14:paraId="2B809E56" w14:textId="77777777" w:rsidTr="00E60C9A">
        <w:tc>
          <w:tcPr>
            <w:tcW w:w="6090" w:type="dxa"/>
            <w:tcBorders>
              <w:top w:val="single" w:sz="4" w:space="0" w:color="auto"/>
            </w:tcBorders>
          </w:tcPr>
          <w:p w14:paraId="2FCBC3C3" w14:textId="16F2BC0B" w:rsidR="00E76ECD" w:rsidRPr="00096524" w:rsidRDefault="00E76ECD" w:rsidP="00E76ECD">
            <w:pPr>
              <w:rPr>
                <w:sz w:val="20"/>
                <w:szCs w:val="20"/>
              </w:rPr>
            </w:pPr>
            <w:r w:rsidRPr="00096524">
              <w:rPr>
                <w:sz w:val="20"/>
                <w:szCs w:val="20"/>
              </w:rPr>
              <w:t xml:space="preserve">BDC Loans payable (Note </w:t>
            </w:r>
            <w:r w:rsidR="00491758" w:rsidRPr="00096524">
              <w:rPr>
                <w:sz w:val="20"/>
                <w:szCs w:val="20"/>
              </w:rPr>
              <w:t>5</w:t>
            </w:r>
            <w:r w:rsidRPr="00096524">
              <w:rPr>
                <w:sz w:val="20"/>
                <w:szCs w:val="20"/>
              </w:rPr>
              <w:t>)</w:t>
            </w:r>
          </w:p>
        </w:tc>
        <w:tc>
          <w:tcPr>
            <w:tcW w:w="1488" w:type="dxa"/>
            <w:tcBorders>
              <w:top w:val="single" w:sz="4" w:space="0" w:color="auto"/>
            </w:tcBorders>
            <w:shd w:val="clear" w:color="auto" w:fill="auto"/>
          </w:tcPr>
          <w:p w14:paraId="3721CBA2" w14:textId="1BCCD238" w:rsidR="00E76ECD" w:rsidRPr="00096524" w:rsidRDefault="00E76ECD" w:rsidP="00E76ECD">
            <w:pPr>
              <w:tabs>
                <w:tab w:val="left" w:pos="0"/>
                <w:tab w:val="decimal" w:pos="1202"/>
              </w:tabs>
              <w:rPr>
                <w:sz w:val="20"/>
                <w:szCs w:val="20"/>
              </w:rPr>
            </w:pPr>
            <w:r w:rsidRPr="00096524">
              <w:rPr>
                <w:sz w:val="20"/>
                <w:szCs w:val="20"/>
              </w:rPr>
              <w:t>$</w:t>
            </w:r>
            <w:r w:rsidRPr="00096524">
              <w:rPr>
                <w:sz w:val="20"/>
                <w:szCs w:val="20"/>
              </w:rPr>
              <w:tab/>
            </w:r>
            <w:r w:rsidR="00096524" w:rsidRPr="00096524">
              <w:rPr>
                <w:sz w:val="20"/>
                <w:szCs w:val="20"/>
              </w:rPr>
              <w:t>58,121</w:t>
            </w:r>
          </w:p>
        </w:tc>
        <w:tc>
          <w:tcPr>
            <w:tcW w:w="1488" w:type="dxa"/>
            <w:tcBorders>
              <w:top w:val="single" w:sz="4" w:space="0" w:color="auto"/>
            </w:tcBorders>
          </w:tcPr>
          <w:p w14:paraId="268DDDBF" w14:textId="5DEB34C6" w:rsidR="00E76ECD" w:rsidRPr="00096524" w:rsidRDefault="00E76ECD" w:rsidP="00E76ECD">
            <w:pPr>
              <w:tabs>
                <w:tab w:val="left" w:pos="0"/>
                <w:tab w:val="decimal" w:pos="1202"/>
              </w:tabs>
              <w:rPr>
                <w:sz w:val="20"/>
                <w:szCs w:val="20"/>
              </w:rPr>
            </w:pPr>
            <w:r w:rsidRPr="00096524">
              <w:rPr>
                <w:sz w:val="20"/>
                <w:szCs w:val="20"/>
              </w:rPr>
              <w:t>$</w:t>
            </w:r>
            <w:r w:rsidRPr="00096524">
              <w:rPr>
                <w:sz w:val="20"/>
                <w:szCs w:val="20"/>
              </w:rPr>
              <w:tab/>
              <w:t>70,703</w:t>
            </w:r>
          </w:p>
        </w:tc>
      </w:tr>
      <w:tr w:rsidR="00E76ECD" w:rsidRPr="0007463E" w14:paraId="5FE54AAF" w14:textId="77777777" w:rsidTr="00E60C9A">
        <w:tc>
          <w:tcPr>
            <w:tcW w:w="6090" w:type="dxa"/>
          </w:tcPr>
          <w:p w14:paraId="00471AB2" w14:textId="77777777" w:rsidR="00E76ECD" w:rsidRPr="00096524" w:rsidRDefault="00E76ECD" w:rsidP="00E76ECD">
            <w:pPr>
              <w:rPr>
                <w:sz w:val="20"/>
                <w:szCs w:val="20"/>
              </w:rPr>
            </w:pPr>
            <w:r w:rsidRPr="00096524">
              <w:rPr>
                <w:sz w:val="20"/>
                <w:szCs w:val="20"/>
              </w:rPr>
              <w:t>CEBA Loan</w:t>
            </w:r>
          </w:p>
        </w:tc>
        <w:tc>
          <w:tcPr>
            <w:tcW w:w="1488" w:type="dxa"/>
            <w:shd w:val="clear" w:color="auto" w:fill="auto"/>
          </w:tcPr>
          <w:p w14:paraId="42D7BCC9" w14:textId="6728CCFC" w:rsidR="00E76ECD" w:rsidRPr="00096524" w:rsidRDefault="00096524" w:rsidP="00E76ECD">
            <w:pPr>
              <w:tabs>
                <w:tab w:val="decimal" w:pos="1202"/>
              </w:tabs>
              <w:rPr>
                <w:sz w:val="20"/>
                <w:szCs w:val="20"/>
              </w:rPr>
            </w:pPr>
            <w:r>
              <w:rPr>
                <w:sz w:val="20"/>
                <w:szCs w:val="20"/>
              </w:rPr>
              <w:t>7</w:t>
            </w:r>
            <w:r w:rsidR="00E76ECD" w:rsidRPr="00096524">
              <w:rPr>
                <w:sz w:val="20"/>
                <w:szCs w:val="20"/>
              </w:rPr>
              <w:t>0</w:t>
            </w:r>
            <w:r w:rsidR="00491758" w:rsidRPr="00096524">
              <w:rPr>
                <w:sz w:val="20"/>
                <w:szCs w:val="20"/>
              </w:rPr>
              <w:t>,00</w:t>
            </w:r>
            <w:r w:rsidRPr="00096524">
              <w:rPr>
                <w:sz w:val="20"/>
                <w:szCs w:val="20"/>
              </w:rPr>
              <w:t>0</w:t>
            </w:r>
          </w:p>
        </w:tc>
        <w:tc>
          <w:tcPr>
            <w:tcW w:w="1488" w:type="dxa"/>
          </w:tcPr>
          <w:p w14:paraId="6972459B" w14:textId="7AB4E1DA" w:rsidR="00E76ECD" w:rsidRPr="00096524" w:rsidRDefault="00E76ECD" w:rsidP="00E76ECD">
            <w:pPr>
              <w:tabs>
                <w:tab w:val="decimal" w:pos="1202"/>
              </w:tabs>
              <w:rPr>
                <w:sz w:val="20"/>
                <w:szCs w:val="20"/>
              </w:rPr>
            </w:pPr>
            <w:r w:rsidRPr="00096524">
              <w:rPr>
                <w:sz w:val="20"/>
                <w:szCs w:val="20"/>
              </w:rPr>
              <w:t>40,000</w:t>
            </w:r>
          </w:p>
        </w:tc>
      </w:tr>
      <w:tr w:rsidR="00E76ECD" w:rsidRPr="0007463E" w14:paraId="5CE52854" w14:textId="77777777" w:rsidTr="00E60C9A">
        <w:tc>
          <w:tcPr>
            <w:tcW w:w="6090" w:type="dxa"/>
            <w:tcBorders>
              <w:top w:val="single" w:sz="4" w:space="0" w:color="auto"/>
            </w:tcBorders>
          </w:tcPr>
          <w:p w14:paraId="7A6F13AE" w14:textId="77777777" w:rsidR="00E76ECD" w:rsidRPr="00096524" w:rsidRDefault="00E76ECD" w:rsidP="00E76ECD">
            <w:pPr>
              <w:rPr>
                <w:sz w:val="20"/>
                <w:szCs w:val="20"/>
              </w:rPr>
            </w:pPr>
            <w:r w:rsidRPr="00096524">
              <w:rPr>
                <w:sz w:val="20"/>
                <w:szCs w:val="20"/>
              </w:rPr>
              <w:t>Total loans payable</w:t>
            </w:r>
          </w:p>
        </w:tc>
        <w:tc>
          <w:tcPr>
            <w:tcW w:w="1488" w:type="dxa"/>
            <w:tcBorders>
              <w:top w:val="single" w:sz="4" w:space="0" w:color="auto"/>
            </w:tcBorders>
            <w:shd w:val="clear" w:color="auto" w:fill="auto"/>
          </w:tcPr>
          <w:p w14:paraId="125300EF" w14:textId="5DFD707C" w:rsidR="00E76ECD" w:rsidRPr="00096524" w:rsidRDefault="00CB0874" w:rsidP="00E76ECD">
            <w:pPr>
              <w:tabs>
                <w:tab w:val="decimal" w:pos="1202"/>
              </w:tabs>
              <w:rPr>
                <w:sz w:val="20"/>
                <w:szCs w:val="20"/>
              </w:rPr>
            </w:pPr>
            <w:r>
              <w:rPr>
                <w:sz w:val="20"/>
                <w:szCs w:val="20"/>
              </w:rPr>
              <w:t>12</w:t>
            </w:r>
            <w:r w:rsidRPr="00096524">
              <w:rPr>
                <w:sz w:val="20"/>
                <w:szCs w:val="20"/>
              </w:rPr>
              <w:t>8</w:t>
            </w:r>
            <w:r w:rsidR="00096524" w:rsidRPr="00096524">
              <w:rPr>
                <w:sz w:val="20"/>
                <w:szCs w:val="20"/>
              </w:rPr>
              <w:t>,121</w:t>
            </w:r>
          </w:p>
        </w:tc>
        <w:tc>
          <w:tcPr>
            <w:tcW w:w="1488" w:type="dxa"/>
            <w:tcBorders>
              <w:top w:val="single" w:sz="4" w:space="0" w:color="auto"/>
            </w:tcBorders>
          </w:tcPr>
          <w:p w14:paraId="15579B15" w14:textId="03A41DE4" w:rsidR="00E76ECD" w:rsidRPr="00096524" w:rsidRDefault="00E76ECD" w:rsidP="00E76ECD">
            <w:pPr>
              <w:tabs>
                <w:tab w:val="decimal" w:pos="1202"/>
              </w:tabs>
              <w:rPr>
                <w:sz w:val="20"/>
                <w:szCs w:val="20"/>
              </w:rPr>
            </w:pPr>
            <w:r w:rsidRPr="00096524">
              <w:rPr>
                <w:sz w:val="20"/>
                <w:szCs w:val="20"/>
              </w:rPr>
              <w:t>110,703</w:t>
            </w:r>
          </w:p>
        </w:tc>
      </w:tr>
      <w:tr w:rsidR="00E76ECD" w:rsidRPr="0007463E" w14:paraId="574F6FD9" w14:textId="77777777" w:rsidTr="00E60C9A">
        <w:tc>
          <w:tcPr>
            <w:tcW w:w="6090" w:type="dxa"/>
            <w:tcBorders>
              <w:bottom w:val="single" w:sz="4" w:space="0" w:color="auto"/>
            </w:tcBorders>
          </w:tcPr>
          <w:p w14:paraId="5E490517" w14:textId="77777777" w:rsidR="00E76ECD" w:rsidRPr="00096524" w:rsidRDefault="00E76ECD" w:rsidP="00E76ECD">
            <w:pPr>
              <w:rPr>
                <w:sz w:val="20"/>
                <w:szCs w:val="20"/>
              </w:rPr>
            </w:pPr>
            <w:r w:rsidRPr="00096524">
              <w:rPr>
                <w:sz w:val="20"/>
                <w:szCs w:val="20"/>
              </w:rPr>
              <w:t>Loans payable – current</w:t>
            </w:r>
          </w:p>
        </w:tc>
        <w:tc>
          <w:tcPr>
            <w:tcW w:w="1488" w:type="dxa"/>
            <w:tcBorders>
              <w:bottom w:val="single" w:sz="4" w:space="0" w:color="auto"/>
            </w:tcBorders>
            <w:shd w:val="clear" w:color="auto" w:fill="auto"/>
          </w:tcPr>
          <w:p w14:paraId="325536BF" w14:textId="77777777" w:rsidR="00E76ECD" w:rsidRPr="00096524" w:rsidRDefault="00E76ECD" w:rsidP="00E76ECD">
            <w:pPr>
              <w:tabs>
                <w:tab w:val="decimal" w:pos="1202"/>
              </w:tabs>
              <w:rPr>
                <w:sz w:val="20"/>
                <w:szCs w:val="20"/>
              </w:rPr>
            </w:pPr>
            <w:r w:rsidRPr="00096524">
              <w:rPr>
                <w:sz w:val="20"/>
                <w:szCs w:val="20"/>
              </w:rPr>
              <w:t>(25,164)</w:t>
            </w:r>
          </w:p>
        </w:tc>
        <w:tc>
          <w:tcPr>
            <w:tcW w:w="1488" w:type="dxa"/>
            <w:tcBorders>
              <w:bottom w:val="single" w:sz="4" w:space="0" w:color="auto"/>
            </w:tcBorders>
          </w:tcPr>
          <w:p w14:paraId="0A220CBD" w14:textId="18D84731" w:rsidR="00E76ECD" w:rsidRPr="00096524" w:rsidRDefault="00E76ECD" w:rsidP="00E76ECD">
            <w:pPr>
              <w:tabs>
                <w:tab w:val="decimal" w:pos="1202"/>
              </w:tabs>
              <w:rPr>
                <w:sz w:val="20"/>
                <w:szCs w:val="20"/>
              </w:rPr>
            </w:pPr>
            <w:r w:rsidRPr="00096524">
              <w:rPr>
                <w:sz w:val="20"/>
                <w:szCs w:val="20"/>
              </w:rPr>
              <w:t>(25,164)</w:t>
            </w:r>
          </w:p>
        </w:tc>
      </w:tr>
      <w:tr w:rsidR="00E76ECD" w:rsidRPr="0007463E" w14:paraId="337976CD" w14:textId="77777777" w:rsidTr="00E60C9A">
        <w:tc>
          <w:tcPr>
            <w:tcW w:w="6090" w:type="dxa"/>
            <w:tcBorders>
              <w:top w:val="single" w:sz="4" w:space="0" w:color="auto"/>
              <w:bottom w:val="double" w:sz="4" w:space="0" w:color="auto"/>
            </w:tcBorders>
          </w:tcPr>
          <w:p w14:paraId="1D82B2B9" w14:textId="77777777" w:rsidR="00E76ECD" w:rsidRPr="00096524" w:rsidRDefault="00E76ECD" w:rsidP="00E76ECD">
            <w:pPr>
              <w:rPr>
                <w:sz w:val="20"/>
                <w:szCs w:val="20"/>
              </w:rPr>
            </w:pPr>
            <w:r w:rsidRPr="00096524">
              <w:rPr>
                <w:sz w:val="20"/>
                <w:szCs w:val="20"/>
              </w:rPr>
              <w:t>Loans payable – non-current</w:t>
            </w:r>
          </w:p>
        </w:tc>
        <w:tc>
          <w:tcPr>
            <w:tcW w:w="1488" w:type="dxa"/>
            <w:tcBorders>
              <w:top w:val="single" w:sz="4" w:space="0" w:color="auto"/>
              <w:bottom w:val="double" w:sz="4" w:space="0" w:color="auto"/>
            </w:tcBorders>
            <w:shd w:val="clear" w:color="auto" w:fill="auto"/>
          </w:tcPr>
          <w:p w14:paraId="3A0F2359" w14:textId="7D93E24E" w:rsidR="00E76ECD" w:rsidRPr="00096524" w:rsidRDefault="00E76ECD" w:rsidP="00E76ECD">
            <w:pPr>
              <w:tabs>
                <w:tab w:val="left" w:pos="0"/>
                <w:tab w:val="decimal" w:pos="1202"/>
              </w:tabs>
              <w:rPr>
                <w:sz w:val="20"/>
                <w:szCs w:val="20"/>
              </w:rPr>
            </w:pPr>
            <w:r w:rsidRPr="00096524">
              <w:rPr>
                <w:sz w:val="20"/>
                <w:szCs w:val="20"/>
              </w:rPr>
              <w:t>$</w:t>
            </w:r>
            <w:r w:rsidRPr="00096524">
              <w:rPr>
                <w:sz w:val="20"/>
                <w:szCs w:val="20"/>
              </w:rPr>
              <w:tab/>
            </w:r>
            <w:r w:rsidR="00096524">
              <w:rPr>
                <w:sz w:val="20"/>
                <w:szCs w:val="20"/>
              </w:rPr>
              <w:t>10</w:t>
            </w:r>
            <w:r w:rsidR="00096524" w:rsidRPr="00096524">
              <w:rPr>
                <w:sz w:val="20"/>
                <w:szCs w:val="20"/>
              </w:rPr>
              <w:t>2,957</w:t>
            </w:r>
          </w:p>
        </w:tc>
        <w:tc>
          <w:tcPr>
            <w:tcW w:w="1488" w:type="dxa"/>
            <w:tcBorders>
              <w:top w:val="single" w:sz="4" w:space="0" w:color="auto"/>
              <w:bottom w:val="double" w:sz="4" w:space="0" w:color="auto"/>
            </w:tcBorders>
          </w:tcPr>
          <w:p w14:paraId="71CBD363" w14:textId="131F4940" w:rsidR="00E76ECD" w:rsidRPr="00096524" w:rsidRDefault="00E76ECD" w:rsidP="00E76ECD">
            <w:pPr>
              <w:tabs>
                <w:tab w:val="left" w:pos="0"/>
                <w:tab w:val="decimal" w:pos="1202"/>
              </w:tabs>
              <w:rPr>
                <w:sz w:val="20"/>
                <w:szCs w:val="20"/>
              </w:rPr>
            </w:pPr>
            <w:r w:rsidRPr="00096524">
              <w:rPr>
                <w:sz w:val="20"/>
                <w:szCs w:val="20"/>
              </w:rPr>
              <w:t>$</w:t>
            </w:r>
            <w:r w:rsidRPr="00096524">
              <w:rPr>
                <w:sz w:val="20"/>
                <w:szCs w:val="20"/>
              </w:rPr>
              <w:tab/>
              <w:t>85,539</w:t>
            </w:r>
          </w:p>
        </w:tc>
      </w:tr>
      <w:tr w:rsidR="00E76ECD" w:rsidRPr="0007463E" w14:paraId="1DF0E9D9" w14:textId="77777777" w:rsidTr="00E60C9A">
        <w:tc>
          <w:tcPr>
            <w:tcW w:w="6090" w:type="dxa"/>
            <w:tcBorders>
              <w:top w:val="double" w:sz="4" w:space="0" w:color="auto"/>
            </w:tcBorders>
          </w:tcPr>
          <w:p w14:paraId="55CF576F" w14:textId="77777777" w:rsidR="00E76ECD" w:rsidRPr="0007463E" w:rsidRDefault="00E76ECD" w:rsidP="00E60C9A">
            <w:pPr>
              <w:rPr>
                <w:sz w:val="20"/>
                <w:szCs w:val="20"/>
                <w:highlight w:val="yellow"/>
              </w:rPr>
            </w:pPr>
          </w:p>
        </w:tc>
        <w:tc>
          <w:tcPr>
            <w:tcW w:w="1488" w:type="dxa"/>
            <w:tcBorders>
              <w:top w:val="double" w:sz="4" w:space="0" w:color="auto"/>
            </w:tcBorders>
          </w:tcPr>
          <w:p w14:paraId="0E5A29AD" w14:textId="77777777" w:rsidR="00E76ECD" w:rsidRPr="0007463E" w:rsidRDefault="00E76ECD" w:rsidP="00E60C9A">
            <w:pPr>
              <w:rPr>
                <w:sz w:val="20"/>
                <w:szCs w:val="20"/>
                <w:highlight w:val="yellow"/>
              </w:rPr>
            </w:pPr>
          </w:p>
        </w:tc>
        <w:tc>
          <w:tcPr>
            <w:tcW w:w="1488" w:type="dxa"/>
            <w:tcBorders>
              <w:top w:val="double" w:sz="4" w:space="0" w:color="auto"/>
            </w:tcBorders>
          </w:tcPr>
          <w:p w14:paraId="33FD77FD" w14:textId="77777777" w:rsidR="00E76ECD" w:rsidRPr="0007463E" w:rsidRDefault="00E76ECD" w:rsidP="00E60C9A">
            <w:pPr>
              <w:rPr>
                <w:sz w:val="20"/>
                <w:szCs w:val="20"/>
                <w:highlight w:val="yellow"/>
              </w:rPr>
            </w:pPr>
          </w:p>
        </w:tc>
      </w:tr>
    </w:tbl>
    <w:p w14:paraId="6C2395D8" w14:textId="0A0383FF" w:rsidR="00096524" w:rsidRDefault="00096524" w:rsidP="00096524">
      <w:pPr>
        <w:pStyle w:val="ListParagraph"/>
        <w:ind w:left="284"/>
        <w:jc w:val="both"/>
        <w:rPr>
          <w:b/>
          <w:bCs/>
          <w:sz w:val="20"/>
          <w:szCs w:val="20"/>
          <w:highlight w:val="yellow"/>
        </w:rPr>
      </w:pPr>
    </w:p>
    <w:p w14:paraId="43EB889B" w14:textId="77777777" w:rsidR="00096524" w:rsidRDefault="00096524">
      <w:pPr>
        <w:spacing w:after="160" w:line="259" w:lineRule="auto"/>
        <w:rPr>
          <w:b/>
          <w:bCs/>
          <w:sz w:val="20"/>
          <w:szCs w:val="20"/>
          <w:highlight w:val="yellow"/>
        </w:rPr>
      </w:pPr>
      <w:r>
        <w:rPr>
          <w:b/>
          <w:bCs/>
          <w:sz w:val="20"/>
          <w:szCs w:val="20"/>
          <w:highlight w:val="yellow"/>
        </w:rPr>
        <w:br w:type="page"/>
      </w:r>
    </w:p>
    <w:p w14:paraId="0979356E" w14:textId="77777777" w:rsidR="00096524" w:rsidRDefault="00096524" w:rsidP="00096524">
      <w:pPr>
        <w:pStyle w:val="ListParagraph"/>
        <w:ind w:left="284"/>
        <w:jc w:val="both"/>
        <w:rPr>
          <w:b/>
          <w:bCs/>
          <w:sz w:val="20"/>
          <w:szCs w:val="20"/>
          <w:highlight w:val="yellow"/>
        </w:rPr>
      </w:pPr>
    </w:p>
    <w:p w14:paraId="766EF6D8" w14:textId="47F3B996" w:rsidR="00E76ECD" w:rsidRPr="00873FD8" w:rsidRDefault="00E76ECD" w:rsidP="00371BEA">
      <w:pPr>
        <w:pStyle w:val="ListParagraph"/>
        <w:numPr>
          <w:ilvl w:val="0"/>
          <w:numId w:val="28"/>
        </w:numPr>
        <w:ind w:left="284"/>
        <w:jc w:val="both"/>
        <w:rPr>
          <w:b/>
          <w:bCs/>
          <w:sz w:val="20"/>
          <w:szCs w:val="20"/>
        </w:rPr>
      </w:pPr>
      <w:r w:rsidRPr="00873FD8">
        <w:rPr>
          <w:b/>
          <w:bCs/>
          <w:sz w:val="20"/>
          <w:szCs w:val="20"/>
        </w:rPr>
        <w:t>BONDS</w:t>
      </w:r>
    </w:p>
    <w:p w14:paraId="1A00AA04" w14:textId="77777777" w:rsidR="00E76ECD" w:rsidRPr="00873FD8" w:rsidRDefault="00E76ECD" w:rsidP="00E76ECD">
      <w:pPr>
        <w:ind w:left="360"/>
        <w:jc w:val="both"/>
        <w:rPr>
          <w:b/>
          <w:bCs/>
          <w:sz w:val="20"/>
          <w:szCs w:val="20"/>
        </w:rPr>
      </w:pPr>
    </w:p>
    <w:tbl>
      <w:tblPr>
        <w:tblStyle w:val="TableGrid"/>
        <w:tblW w:w="9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E76ECD" w:rsidRPr="00873FD8" w14:paraId="3E2AD465" w14:textId="77777777" w:rsidTr="00E76ECD">
        <w:tc>
          <w:tcPr>
            <w:tcW w:w="6090" w:type="dxa"/>
            <w:tcBorders>
              <w:top w:val="double" w:sz="4" w:space="0" w:color="auto"/>
              <w:bottom w:val="single" w:sz="4" w:space="0" w:color="auto"/>
            </w:tcBorders>
          </w:tcPr>
          <w:p w14:paraId="26872483" w14:textId="77777777" w:rsidR="00E76ECD" w:rsidRPr="00873FD8" w:rsidRDefault="00E76ECD" w:rsidP="00E76ECD">
            <w:pPr>
              <w:rPr>
                <w:sz w:val="20"/>
                <w:szCs w:val="20"/>
              </w:rPr>
            </w:pPr>
          </w:p>
        </w:tc>
        <w:tc>
          <w:tcPr>
            <w:tcW w:w="1488" w:type="dxa"/>
            <w:tcBorders>
              <w:top w:val="double" w:sz="4" w:space="0" w:color="auto"/>
              <w:bottom w:val="single" w:sz="4" w:space="0" w:color="auto"/>
            </w:tcBorders>
          </w:tcPr>
          <w:p w14:paraId="29906CE3" w14:textId="32C35E3F" w:rsidR="00E76ECD" w:rsidRPr="00873FD8" w:rsidRDefault="00C117D6" w:rsidP="00E76ECD">
            <w:pPr>
              <w:tabs>
                <w:tab w:val="decimal" w:pos="1202"/>
              </w:tabs>
              <w:rPr>
                <w:b/>
                <w:bCs/>
                <w:sz w:val="20"/>
                <w:szCs w:val="20"/>
              </w:rPr>
            </w:pPr>
            <w:r w:rsidRPr="00873FD8">
              <w:rPr>
                <w:b/>
                <w:bCs/>
                <w:sz w:val="20"/>
                <w:szCs w:val="20"/>
              </w:rPr>
              <w:t>June 30</w:t>
            </w:r>
            <w:r w:rsidR="00E76ECD" w:rsidRPr="00873FD8">
              <w:rPr>
                <w:b/>
                <w:bCs/>
                <w:sz w:val="20"/>
                <w:szCs w:val="20"/>
              </w:rPr>
              <w:t>,</w:t>
            </w:r>
          </w:p>
          <w:p w14:paraId="24AE1C41" w14:textId="25F1E7EC" w:rsidR="00E76ECD" w:rsidRPr="00873FD8" w:rsidRDefault="00E76ECD" w:rsidP="00E76ECD">
            <w:pPr>
              <w:tabs>
                <w:tab w:val="decimal" w:pos="1202"/>
              </w:tabs>
              <w:rPr>
                <w:b/>
                <w:bCs/>
                <w:sz w:val="20"/>
                <w:szCs w:val="20"/>
              </w:rPr>
            </w:pPr>
            <w:r w:rsidRPr="00873FD8">
              <w:rPr>
                <w:b/>
                <w:bCs/>
                <w:sz w:val="20"/>
                <w:szCs w:val="20"/>
              </w:rPr>
              <w:t xml:space="preserve"> 2021</w:t>
            </w:r>
          </w:p>
        </w:tc>
        <w:tc>
          <w:tcPr>
            <w:tcW w:w="1488" w:type="dxa"/>
            <w:tcBorders>
              <w:top w:val="double" w:sz="4" w:space="0" w:color="auto"/>
              <w:bottom w:val="single" w:sz="4" w:space="0" w:color="auto"/>
            </w:tcBorders>
          </w:tcPr>
          <w:p w14:paraId="33766FAF" w14:textId="77777777" w:rsidR="00E76ECD" w:rsidRPr="00873FD8" w:rsidRDefault="00E76ECD" w:rsidP="00E76ECD">
            <w:pPr>
              <w:tabs>
                <w:tab w:val="decimal" w:pos="1202"/>
              </w:tabs>
              <w:rPr>
                <w:b/>
                <w:bCs/>
                <w:sz w:val="20"/>
                <w:szCs w:val="20"/>
              </w:rPr>
            </w:pPr>
            <w:r w:rsidRPr="00873FD8">
              <w:rPr>
                <w:b/>
                <w:bCs/>
                <w:sz w:val="20"/>
                <w:szCs w:val="20"/>
              </w:rPr>
              <w:t>December 31,</w:t>
            </w:r>
          </w:p>
          <w:p w14:paraId="462006A2" w14:textId="61A754A7" w:rsidR="00E76ECD" w:rsidRPr="00873FD8" w:rsidRDefault="00E76ECD" w:rsidP="00E76ECD">
            <w:pPr>
              <w:tabs>
                <w:tab w:val="decimal" w:pos="1202"/>
              </w:tabs>
              <w:rPr>
                <w:b/>
                <w:bCs/>
                <w:sz w:val="20"/>
                <w:szCs w:val="20"/>
              </w:rPr>
            </w:pPr>
            <w:r w:rsidRPr="00873FD8">
              <w:rPr>
                <w:b/>
                <w:bCs/>
                <w:sz w:val="20"/>
                <w:szCs w:val="20"/>
              </w:rPr>
              <w:t xml:space="preserve"> 2020</w:t>
            </w:r>
          </w:p>
        </w:tc>
      </w:tr>
      <w:tr w:rsidR="00116EEF" w:rsidRPr="00873FD8" w14:paraId="5AEDF7CE" w14:textId="77777777" w:rsidTr="00E60C9A">
        <w:tc>
          <w:tcPr>
            <w:tcW w:w="6090" w:type="dxa"/>
            <w:tcBorders>
              <w:top w:val="single" w:sz="4" w:space="0" w:color="auto"/>
            </w:tcBorders>
          </w:tcPr>
          <w:p w14:paraId="0C2309FA" w14:textId="258A43ED" w:rsidR="00116EEF" w:rsidRPr="00873FD8" w:rsidRDefault="00116EEF" w:rsidP="00116EEF">
            <w:pPr>
              <w:rPr>
                <w:sz w:val="20"/>
                <w:szCs w:val="20"/>
              </w:rPr>
            </w:pPr>
            <w:r w:rsidRPr="00873FD8">
              <w:rPr>
                <w:sz w:val="20"/>
                <w:szCs w:val="20"/>
              </w:rPr>
              <w:t xml:space="preserve">10% bonds – original offering (Note </w:t>
            </w:r>
            <w:r w:rsidR="001331C4" w:rsidRPr="00873FD8">
              <w:rPr>
                <w:sz w:val="20"/>
                <w:szCs w:val="20"/>
              </w:rPr>
              <w:t>1</w:t>
            </w:r>
            <w:r w:rsidR="00873FD8" w:rsidRPr="00873FD8">
              <w:rPr>
                <w:sz w:val="20"/>
                <w:szCs w:val="20"/>
              </w:rPr>
              <w:t>2</w:t>
            </w:r>
            <w:r w:rsidRPr="00873FD8">
              <w:rPr>
                <w:sz w:val="20"/>
                <w:szCs w:val="20"/>
              </w:rPr>
              <w:t>(a))</w:t>
            </w:r>
          </w:p>
        </w:tc>
        <w:tc>
          <w:tcPr>
            <w:tcW w:w="1488" w:type="dxa"/>
            <w:tcBorders>
              <w:top w:val="single" w:sz="4" w:space="0" w:color="auto"/>
            </w:tcBorders>
          </w:tcPr>
          <w:p w14:paraId="374262C9" w14:textId="79E79530" w:rsidR="00116EEF" w:rsidRPr="00873FD8" w:rsidRDefault="00116EEF" w:rsidP="00116EEF">
            <w:pPr>
              <w:tabs>
                <w:tab w:val="left" w:pos="0"/>
                <w:tab w:val="decimal" w:pos="1202"/>
              </w:tabs>
              <w:rPr>
                <w:sz w:val="20"/>
                <w:szCs w:val="20"/>
              </w:rPr>
            </w:pPr>
            <w:r w:rsidRPr="00873FD8">
              <w:rPr>
                <w:sz w:val="20"/>
                <w:szCs w:val="20"/>
              </w:rPr>
              <w:t>$</w:t>
            </w:r>
            <w:r w:rsidRPr="00873FD8">
              <w:rPr>
                <w:sz w:val="20"/>
                <w:szCs w:val="20"/>
              </w:rPr>
              <w:tab/>
            </w:r>
            <w:r w:rsidR="00873FD8" w:rsidRPr="00873FD8">
              <w:rPr>
                <w:sz w:val="20"/>
                <w:szCs w:val="20"/>
              </w:rPr>
              <w:t>637,88</w:t>
            </w:r>
            <w:r w:rsidR="00873FD8">
              <w:rPr>
                <w:sz w:val="20"/>
                <w:szCs w:val="20"/>
              </w:rPr>
              <w:t>0</w:t>
            </w:r>
          </w:p>
        </w:tc>
        <w:tc>
          <w:tcPr>
            <w:tcW w:w="1488" w:type="dxa"/>
            <w:tcBorders>
              <w:top w:val="single" w:sz="4" w:space="0" w:color="auto"/>
            </w:tcBorders>
          </w:tcPr>
          <w:p w14:paraId="27BD3090" w14:textId="6B6780D4" w:rsidR="00116EEF" w:rsidRPr="00873FD8" w:rsidRDefault="00116EEF" w:rsidP="00116EEF">
            <w:pPr>
              <w:tabs>
                <w:tab w:val="left" w:pos="0"/>
                <w:tab w:val="decimal" w:pos="1202"/>
              </w:tabs>
              <w:rPr>
                <w:sz w:val="20"/>
                <w:szCs w:val="20"/>
              </w:rPr>
            </w:pPr>
            <w:r w:rsidRPr="00873FD8">
              <w:rPr>
                <w:sz w:val="20"/>
                <w:szCs w:val="20"/>
              </w:rPr>
              <w:t>$</w:t>
            </w:r>
            <w:r w:rsidRPr="00873FD8">
              <w:rPr>
                <w:sz w:val="20"/>
                <w:szCs w:val="20"/>
              </w:rPr>
              <w:tab/>
              <w:t>618,688</w:t>
            </w:r>
          </w:p>
        </w:tc>
      </w:tr>
      <w:tr w:rsidR="00116EEF" w:rsidRPr="00873FD8" w14:paraId="23B04CE0" w14:textId="77777777" w:rsidTr="00E60C9A">
        <w:tc>
          <w:tcPr>
            <w:tcW w:w="6090" w:type="dxa"/>
          </w:tcPr>
          <w:p w14:paraId="76487638" w14:textId="2E240B95" w:rsidR="00116EEF" w:rsidRPr="00873FD8" w:rsidRDefault="00116EEF" w:rsidP="00116EEF">
            <w:pPr>
              <w:rPr>
                <w:sz w:val="20"/>
                <w:szCs w:val="20"/>
              </w:rPr>
            </w:pPr>
            <w:r w:rsidRPr="00873FD8">
              <w:rPr>
                <w:sz w:val="20"/>
                <w:szCs w:val="20"/>
              </w:rPr>
              <w:t xml:space="preserve">9% bonds – new offering (Note </w:t>
            </w:r>
            <w:r w:rsidR="001331C4" w:rsidRPr="00873FD8">
              <w:rPr>
                <w:sz w:val="20"/>
                <w:szCs w:val="20"/>
              </w:rPr>
              <w:t>1</w:t>
            </w:r>
            <w:r w:rsidR="00873FD8" w:rsidRPr="00873FD8">
              <w:rPr>
                <w:sz w:val="20"/>
                <w:szCs w:val="20"/>
              </w:rPr>
              <w:t>2</w:t>
            </w:r>
            <w:r w:rsidRPr="00873FD8">
              <w:rPr>
                <w:sz w:val="20"/>
                <w:szCs w:val="20"/>
              </w:rPr>
              <w:t>(b))</w:t>
            </w:r>
          </w:p>
        </w:tc>
        <w:tc>
          <w:tcPr>
            <w:tcW w:w="1488" w:type="dxa"/>
            <w:vAlign w:val="center"/>
          </w:tcPr>
          <w:p w14:paraId="54EC411F" w14:textId="2FD38B96" w:rsidR="00116EEF" w:rsidRPr="00873FD8" w:rsidRDefault="00116EEF" w:rsidP="00116EEF">
            <w:pPr>
              <w:tabs>
                <w:tab w:val="decimal" w:pos="1202"/>
              </w:tabs>
              <w:rPr>
                <w:sz w:val="20"/>
                <w:szCs w:val="20"/>
              </w:rPr>
            </w:pPr>
            <w:r w:rsidRPr="00873FD8">
              <w:rPr>
                <w:color w:val="000000"/>
                <w:sz w:val="20"/>
                <w:szCs w:val="20"/>
              </w:rPr>
              <w:t>6</w:t>
            </w:r>
            <w:r w:rsidR="00873FD8" w:rsidRPr="00873FD8">
              <w:rPr>
                <w:color w:val="000000"/>
                <w:sz w:val="20"/>
                <w:szCs w:val="20"/>
              </w:rPr>
              <w:t>34,438</w:t>
            </w:r>
            <w:r w:rsidRPr="00873FD8">
              <w:rPr>
                <w:color w:val="000000"/>
                <w:sz w:val="20"/>
                <w:szCs w:val="20"/>
              </w:rPr>
              <w:t xml:space="preserve"> </w:t>
            </w:r>
          </w:p>
        </w:tc>
        <w:tc>
          <w:tcPr>
            <w:tcW w:w="1488" w:type="dxa"/>
          </w:tcPr>
          <w:p w14:paraId="3DECC901" w14:textId="7CC63003" w:rsidR="00116EEF" w:rsidRPr="00873FD8" w:rsidRDefault="00116EEF" w:rsidP="00116EEF">
            <w:pPr>
              <w:tabs>
                <w:tab w:val="decimal" w:pos="1202"/>
              </w:tabs>
              <w:rPr>
                <w:sz w:val="20"/>
                <w:szCs w:val="20"/>
              </w:rPr>
            </w:pPr>
            <w:r w:rsidRPr="00873FD8">
              <w:rPr>
                <w:sz w:val="20"/>
                <w:szCs w:val="20"/>
              </w:rPr>
              <w:t>677,433</w:t>
            </w:r>
          </w:p>
        </w:tc>
      </w:tr>
      <w:tr w:rsidR="00116EEF" w:rsidRPr="00873FD8" w14:paraId="6D2904FB" w14:textId="77777777" w:rsidTr="00E60C9A">
        <w:tc>
          <w:tcPr>
            <w:tcW w:w="6090" w:type="dxa"/>
          </w:tcPr>
          <w:p w14:paraId="3D81F47C" w14:textId="3B9451F2" w:rsidR="00116EEF" w:rsidRPr="00873FD8" w:rsidRDefault="00116EEF" w:rsidP="00116EEF">
            <w:pPr>
              <w:rPr>
                <w:sz w:val="20"/>
                <w:szCs w:val="20"/>
              </w:rPr>
            </w:pPr>
            <w:r w:rsidRPr="00873FD8">
              <w:rPr>
                <w:sz w:val="20"/>
                <w:szCs w:val="20"/>
              </w:rPr>
              <w:t xml:space="preserve">8% bonds – new offering (Note </w:t>
            </w:r>
            <w:r w:rsidR="001331C4" w:rsidRPr="00873FD8">
              <w:rPr>
                <w:sz w:val="20"/>
                <w:szCs w:val="20"/>
              </w:rPr>
              <w:t>1</w:t>
            </w:r>
            <w:r w:rsidR="00873FD8" w:rsidRPr="00873FD8">
              <w:rPr>
                <w:sz w:val="20"/>
                <w:szCs w:val="20"/>
              </w:rPr>
              <w:t>2</w:t>
            </w:r>
            <w:r w:rsidRPr="00873FD8">
              <w:rPr>
                <w:sz w:val="20"/>
                <w:szCs w:val="20"/>
              </w:rPr>
              <w:t>(b))</w:t>
            </w:r>
          </w:p>
        </w:tc>
        <w:tc>
          <w:tcPr>
            <w:tcW w:w="1488" w:type="dxa"/>
            <w:vAlign w:val="center"/>
          </w:tcPr>
          <w:p w14:paraId="3D8CFAFC" w14:textId="6BCF98B0" w:rsidR="00116EEF" w:rsidRPr="00873FD8" w:rsidRDefault="00116EEF" w:rsidP="00116EEF">
            <w:pPr>
              <w:tabs>
                <w:tab w:val="decimal" w:pos="1202"/>
              </w:tabs>
              <w:rPr>
                <w:sz w:val="20"/>
                <w:szCs w:val="20"/>
              </w:rPr>
            </w:pPr>
            <w:r w:rsidRPr="00873FD8">
              <w:rPr>
                <w:color w:val="000000"/>
                <w:sz w:val="20"/>
                <w:szCs w:val="20"/>
              </w:rPr>
              <w:t xml:space="preserve">45,000 </w:t>
            </w:r>
          </w:p>
        </w:tc>
        <w:tc>
          <w:tcPr>
            <w:tcW w:w="1488" w:type="dxa"/>
          </w:tcPr>
          <w:p w14:paraId="400E90BD" w14:textId="5A2CCB9D" w:rsidR="00116EEF" w:rsidRPr="00873FD8" w:rsidRDefault="00116EEF" w:rsidP="00116EEF">
            <w:pPr>
              <w:tabs>
                <w:tab w:val="decimal" w:pos="1202"/>
              </w:tabs>
              <w:rPr>
                <w:sz w:val="20"/>
                <w:szCs w:val="20"/>
              </w:rPr>
            </w:pPr>
            <w:r w:rsidRPr="00873FD8">
              <w:rPr>
                <w:sz w:val="20"/>
                <w:szCs w:val="20"/>
              </w:rPr>
              <w:t>45,000</w:t>
            </w:r>
          </w:p>
        </w:tc>
      </w:tr>
      <w:tr w:rsidR="00116EEF" w:rsidRPr="00873FD8" w14:paraId="114C4909" w14:textId="77777777" w:rsidTr="00E60C9A">
        <w:tc>
          <w:tcPr>
            <w:tcW w:w="6090" w:type="dxa"/>
          </w:tcPr>
          <w:p w14:paraId="59B1015A" w14:textId="44AE7963" w:rsidR="00116EEF" w:rsidRPr="00873FD8" w:rsidRDefault="00116EEF" w:rsidP="00116EEF">
            <w:pPr>
              <w:rPr>
                <w:sz w:val="20"/>
                <w:szCs w:val="20"/>
              </w:rPr>
            </w:pPr>
            <w:r w:rsidRPr="00873FD8">
              <w:rPr>
                <w:sz w:val="20"/>
                <w:szCs w:val="20"/>
              </w:rPr>
              <w:t xml:space="preserve">10% bonds – amended (Note </w:t>
            </w:r>
            <w:r w:rsidR="001331C4" w:rsidRPr="00873FD8">
              <w:rPr>
                <w:sz w:val="20"/>
                <w:szCs w:val="20"/>
              </w:rPr>
              <w:t>1</w:t>
            </w:r>
            <w:r w:rsidR="00873FD8" w:rsidRPr="00873FD8">
              <w:rPr>
                <w:sz w:val="20"/>
                <w:szCs w:val="20"/>
              </w:rPr>
              <w:t>2</w:t>
            </w:r>
            <w:r w:rsidRPr="00873FD8">
              <w:rPr>
                <w:sz w:val="20"/>
                <w:szCs w:val="20"/>
              </w:rPr>
              <w:t>(c))</w:t>
            </w:r>
          </w:p>
        </w:tc>
        <w:tc>
          <w:tcPr>
            <w:tcW w:w="1488" w:type="dxa"/>
            <w:vAlign w:val="center"/>
          </w:tcPr>
          <w:p w14:paraId="768DB062" w14:textId="61B9E186" w:rsidR="00116EEF" w:rsidRPr="00873FD8" w:rsidRDefault="00116EEF" w:rsidP="00116EEF">
            <w:pPr>
              <w:tabs>
                <w:tab w:val="decimal" w:pos="1202"/>
              </w:tabs>
              <w:rPr>
                <w:sz w:val="20"/>
                <w:szCs w:val="20"/>
              </w:rPr>
            </w:pPr>
            <w:r w:rsidRPr="00873FD8">
              <w:rPr>
                <w:color w:val="000000"/>
                <w:sz w:val="20"/>
                <w:szCs w:val="20"/>
              </w:rPr>
              <w:t>3,5</w:t>
            </w:r>
            <w:r w:rsidR="00873FD8" w:rsidRPr="00873FD8">
              <w:rPr>
                <w:color w:val="000000"/>
                <w:sz w:val="20"/>
                <w:szCs w:val="20"/>
              </w:rPr>
              <w:t>78,474</w:t>
            </w:r>
            <w:r w:rsidRPr="00873FD8">
              <w:rPr>
                <w:color w:val="000000"/>
                <w:sz w:val="20"/>
                <w:szCs w:val="20"/>
              </w:rPr>
              <w:t xml:space="preserve"> </w:t>
            </w:r>
          </w:p>
        </w:tc>
        <w:tc>
          <w:tcPr>
            <w:tcW w:w="1488" w:type="dxa"/>
          </w:tcPr>
          <w:p w14:paraId="128CBE77" w14:textId="038C2EDD" w:rsidR="00116EEF" w:rsidRPr="00873FD8" w:rsidRDefault="00116EEF" w:rsidP="00116EEF">
            <w:pPr>
              <w:tabs>
                <w:tab w:val="decimal" w:pos="1202"/>
              </w:tabs>
              <w:rPr>
                <w:sz w:val="20"/>
                <w:szCs w:val="20"/>
              </w:rPr>
            </w:pPr>
            <w:r w:rsidRPr="00873FD8">
              <w:rPr>
                <w:sz w:val="20"/>
                <w:szCs w:val="20"/>
              </w:rPr>
              <w:t>3,570,237</w:t>
            </w:r>
          </w:p>
        </w:tc>
      </w:tr>
      <w:tr w:rsidR="00116EEF" w:rsidRPr="00873FD8" w14:paraId="224E5A24" w14:textId="77777777" w:rsidTr="00E60C9A">
        <w:tc>
          <w:tcPr>
            <w:tcW w:w="6090" w:type="dxa"/>
          </w:tcPr>
          <w:p w14:paraId="369A9CC3" w14:textId="15B6CB4B" w:rsidR="00116EEF" w:rsidRPr="00873FD8" w:rsidRDefault="00116EEF" w:rsidP="00116EEF">
            <w:pPr>
              <w:rPr>
                <w:sz w:val="20"/>
                <w:szCs w:val="20"/>
              </w:rPr>
            </w:pPr>
            <w:r w:rsidRPr="00873FD8">
              <w:rPr>
                <w:sz w:val="20"/>
                <w:szCs w:val="20"/>
              </w:rPr>
              <w:t xml:space="preserve">10% bonds – new offering (Note </w:t>
            </w:r>
            <w:r w:rsidR="001331C4" w:rsidRPr="00873FD8">
              <w:rPr>
                <w:sz w:val="20"/>
                <w:szCs w:val="20"/>
              </w:rPr>
              <w:t>1</w:t>
            </w:r>
            <w:r w:rsidR="00873FD8" w:rsidRPr="00873FD8">
              <w:rPr>
                <w:sz w:val="20"/>
                <w:szCs w:val="20"/>
              </w:rPr>
              <w:t>2</w:t>
            </w:r>
            <w:r w:rsidRPr="00873FD8">
              <w:rPr>
                <w:sz w:val="20"/>
                <w:szCs w:val="20"/>
              </w:rPr>
              <w:t>(c))</w:t>
            </w:r>
          </w:p>
        </w:tc>
        <w:tc>
          <w:tcPr>
            <w:tcW w:w="1488" w:type="dxa"/>
            <w:vAlign w:val="center"/>
          </w:tcPr>
          <w:p w14:paraId="647CAB0C" w14:textId="76818A8D" w:rsidR="00116EEF" w:rsidRPr="00873FD8" w:rsidRDefault="00116EEF" w:rsidP="00116EEF">
            <w:pPr>
              <w:tabs>
                <w:tab w:val="decimal" w:pos="1202"/>
              </w:tabs>
              <w:rPr>
                <w:sz w:val="20"/>
                <w:szCs w:val="20"/>
              </w:rPr>
            </w:pPr>
            <w:r w:rsidRPr="00873FD8">
              <w:rPr>
                <w:color w:val="000000"/>
                <w:sz w:val="20"/>
                <w:szCs w:val="20"/>
              </w:rPr>
              <w:t xml:space="preserve">250,000 </w:t>
            </w:r>
          </w:p>
        </w:tc>
        <w:tc>
          <w:tcPr>
            <w:tcW w:w="1488" w:type="dxa"/>
          </w:tcPr>
          <w:p w14:paraId="3BABDF98" w14:textId="33EE8C2F" w:rsidR="00116EEF" w:rsidRPr="00873FD8" w:rsidRDefault="00116EEF" w:rsidP="00116EEF">
            <w:pPr>
              <w:tabs>
                <w:tab w:val="decimal" w:pos="1202"/>
              </w:tabs>
              <w:rPr>
                <w:sz w:val="20"/>
                <w:szCs w:val="20"/>
              </w:rPr>
            </w:pPr>
            <w:r w:rsidRPr="00873FD8">
              <w:rPr>
                <w:sz w:val="20"/>
                <w:szCs w:val="20"/>
              </w:rPr>
              <w:t>250,000</w:t>
            </w:r>
          </w:p>
        </w:tc>
      </w:tr>
      <w:tr w:rsidR="00116EEF" w:rsidRPr="00873FD8" w14:paraId="18185EC6" w14:textId="77777777" w:rsidTr="00E60C9A">
        <w:tc>
          <w:tcPr>
            <w:tcW w:w="6090" w:type="dxa"/>
            <w:tcBorders>
              <w:top w:val="single" w:sz="4" w:space="0" w:color="auto"/>
            </w:tcBorders>
          </w:tcPr>
          <w:p w14:paraId="32E4CFE0" w14:textId="77777777" w:rsidR="00116EEF" w:rsidRPr="00873FD8" w:rsidRDefault="00116EEF" w:rsidP="00116EEF">
            <w:pPr>
              <w:rPr>
                <w:sz w:val="20"/>
                <w:szCs w:val="20"/>
              </w:rPr>
            </w:pPr>
            <w:r w:rsidRPr="00873FD8">
              <w:rPr>
                <w:sz w:val="20"/>
                <w:szCs w:val="20"/>
              </w:rPr>
              <w:t>Total bonds, net of associated transaction costs</w:t>
            </w:r>
          </w:p>
        </w:tc>
        <w:tc>
          <w:tcPr>
            <w:tcW w:w="1488" w:type="dxa"/>
            <w:tcBorders>
              <w:top w:val="single" w:sz="4" w:space="0" w:color="auto"/>
            </w:tcBorders>
            <w:vAlign w:val="center"/>
          </w:tcPr>
          <w:p w14:paraId="0F079214" w14:textId="5067FAC2" w:rsidR="00116EEF" w:rsidRPr="00873FD8" w:rsidRDefault="00116EEF" w:rsidP="00116EEF">
            <w:pPr>
              <w:tabs>
                <w:tab w:val="decimal" w:pos="1202"/>
              </w:tabs>
              <w:rPr>
                <w:sz w:val="20"/>
                <w:szCs w:val="20"/>
              </w:rPr>
            </w:pPr>
            <w:r w:rsidRPr="00873FD8">
              <w:rPr>
                <w:color w:val="000000"/>
                <w:sz w:val="20"/>
                <w:szCs w:val="20"/>
              </w:rPr>
              <w:t>5,</w:t>
            </w:r>
            <w:r w:rsidR="00873FD8" w:rsidRPr="00873FD8">
              <w:rPr>
                <w:color w:val="000000"/>
                <w:sz w:val="20"/>
                <w:szCs w:val="20"/>
              </w:rPr>
              <w:t>145,79</w:t>
            </w:r>
            <w:r w:rsidR="00873FD8">
              <w:rPr>
                <w:color w:val="000000"/>
                <w:sz w:val="20"/>
                <w:szCs w:val="20"/>
              </w:rPr>
              <w:t>2</w:t>
            </w:r>
          </w:p>
        </w:tc>
        <w:tc>
          <w:tcPr>
            <w:tcW w:w="1488" w:type="dxa"/>
            <w:tcBorders>
              <w:top w:val="single" w:sz="4" w:space="0" w:color="auto"/>
            </w:tcBorders>
          </w:tcPr>
          <w:p w14:paraId="5EEBEB96" w14:textId="6184ADE1" w:rsidR="00116EEF" w:rsidRPr="00873FD8" w:rsidRDefault="00116EEF" w:rsidP="00116EEF">
            <w:pPr>
              <w:tabs>
                <w:tab w:val="decimal" w:pos="1202"/>
              </w:tabs>
              <w:rPr>
                <w:sz w:val="20"/>
                <w:szCs w:val="20"/>
              </w:rPr>
            </w:pPr>
            <w:r w:rsidRPr="00873FD8">
              <w:rPr>
                <w:sz w:val="20"/>
                <w:szCs w:val="20"/>
              </w:rPr>
              <w:t>5,161,358</w:t>
            </w:r>
          </w:p>
        </w:tc>
      </w:tr>
      <w:tr w:rsidR="00116EEF" w:rsidRPr="00873FD8" w14:paraId="77927276" w14:textId="77777777" w:rsidTr="00E60C9A">
        <w:tc>
          <w:tcPr>
            <w:tcW w:w="6090" w:type="dxa"/>
            <w:tcBorders>
              <w:bottom w:val="single" w:sz="4" w:space="0" w:color="auto"/>
            </w:tcBorders>
          </w:tcPr>
          <w:p w14:paraId="79F889D3" w14:textId="77777777" w:rsidR="00116EEF" w:rsidRPr="00873FD8" w:rsidRDefault="00116EEF" w:rsidP="00116EEF">
            <w:pPr>
              <w:rPr>
                <w:sz w:val="20"/>
                <w:szCs w:val="20"/>
              </w:rPr>
            </w:pPr>
            <w:r w:rsidRPr="00873FD8">
              <w:rPr>
                <w:sz w:val="20"/>
                <w:szCs w:val="20"/>
              </w:rPr>
              <w:t>Bonds payable – current</w:t>
            </w:r>
          </w:p>
        </w:tc>
        <w:tc>
          <w:tcPr>
            <w:tcW w:w="1488" w:type="dxa"/>
            <w:tcBorders>
              <w:bottom w:val="single" w:sz="4" w:space="0" w:color="auto"/>
            </w:tcBorders>
            <w:vAlign w:val="center"/>
          </w:tcPr>
          <w:p w14:paraId="4ECC50D3" w14:textId="5467F7D6" w:rsidR="00116EEF" w:rsidRPr="00873FD8" w:rsidRDefault="00116EEF" w:rsidP="00116EEF">
            <w:pPr>
              <w:tabs>
                <w:tab w:val="decimal" w:pos="1202"/>
              </w:tabs>
              <w:rPr>
                <w:sz w:val="20"/>
                <w:szCs w:val="20"/>
              </w:rPr>
            </w:pPr>
            <w:r w:rsidRPr="00873FD8">
              <w:rPr>
                <w:color w:val="000000"/>
                <w:sz w:val="20"/>
                <w:szCs w:val="20"/>
              </w:rPr>
              <w:t>(</w:t>
            </w:r>
            <w:r w:rsidR="00873FD8" w:rsidRPr="00873FD8">
              <w:rPr>
                <w:color w:val="000000"/>
                <w:sz w:val="20"/>
                <w:szCs w:val="20"/>
              </w:rPr>
              <w:t>2,540,630</w:t>
            </w:r>
            <w:r w:rsidRPr="00873FD8">
              <w:rPr>
                <w:color w:val="000000"/>
                <w:sz w:val="20"/>
                <w:szCs w:val="20"/>
              </w:rPr>
              <w:t>)</w:t>
            </w:r>
          </w:p>
        </w:tc>
        <w:tc>
          <w:tcPr>
            <w:tcW w:w="1488" w:type="dxa"/>
            <w:tcBorders>
              <w:bottom w:val="single" w:sz="4" w:space="0" w:color="auto"/>
            </w:tcBorders>
          </w:tcPr>
          <w:p w14:paraId="40327DC1" w14:textId="3A0F8387" w:rsidR="00116EEF" w:rsidRPr="00873FD8" w:rsidRDefault="00116EEF" w:rsidP="00116EEF">
            <w:pPr>
              <w:tabs>
                <w:tab w:val="decimal" w:pos="1202"/>
              </w:tabs>
              <w:rPr>
                <w:sz w:val="20"/>
                <w:szCs w:val="20"/>
              </w:rPr>
            </w:pPr>
            <w:r w:rsidRPr="00873FD8">
              <w:rPr>
                <w:sz w:val="20"/>
                <w:szCs w:val="20"/>
              </w:rPr>
              <w:t>(1,977,869)</w:t>
            </w:r>
          </w:p>
        </w:tc>
      </w:tr>
      <w:tr w:rsidR="00116EEF" w:rsidRPr="0007463E" w14:paraId="6BC7BE32" w14:textId="77777777" w:rsidTr="00E60C9A">
        <w:tc>
          <w:tcPr>
            <w:tcW w:w="6090" w:type="dxa"/>
            <w:tcBorders>
              <w:top w:val="single" w:sz="4" w:space="0" w:color="auto"/>
              <w:bottom w:val="double" w:sz="4" w:space="0" w:color="auto"/>
            </w:tcBorders>
          </w:tcPr>
          <w:p w14:paraId="483E1D44" w14:textId="77777777" w:rsidR="00116EEF" w:rsidRPr="00873FD8" w:rsidRDefault="00116EEF" w:rsidP="00116EEF">
            <w:pPr>
              <w:rPr>
                <w:sz w:val="20"/>
                <w:szCs w:val="20"/>
              </w:rPr>
            </w:pPr>
            <w:r w:rsidRPr="00873FD8">
              <w:rPr>
                <w:sz w:val="20"/>
                <w:szCs w:val="20"/>
              </w:rPr>
              <w:t>Bonds payable – non-current</w:t>
            </w:r>
          </w:p>
        </w:tc>
        <w:tc>
          <w:tcPr>
            <w:tcW w:w="1488" w:type="dxa"/>
            <w:tcBorders>
              <w:top w:val="single" w:sz="4" w:space="0" w:color="auto"/>
              <w:bottom w:val="double" w:sz="4" w:space="0" w:color="auto"/>
            </w:tcBorders>
          </w:tcPr>
          <w:p w14:paraId="11F5920C" w14:textId="4B7C5090" w:rsidR="00116EEF" w:rsidRPr="00873FD8" w:rsidRDefault="00116EEF" w:rsidP="00116EEF">
            <w:pPr>
              <w:tabs>
                <w:tab w:val="left" w:pos="0"/>
                <w:tab w:val="decimal" w:pos="1202"/>
              </w:tabs>
              <w:rPr>
                <w:sz w:val="20"/>
                <w:szCs w:val="20"/>
              </w:rPr>
            </w:pPr>
            <w:r w:rsidRPr="00873FD8">
              <w:rPr>
                <w:sz w:val="20"/>
                <w:szCs w:val="20"/>
              </w:rPr>
              <w:t>$</w:t>
            </w:r>
            <w:r w:rsidRPr="00873FD8">
              <w:rPr>
                <w:sz w:val="20"/>
                <w:szCs w:val="20"/>
              </w:rPr>
              <w:tab/>
            </w:r>
            <w:r w:rsidR="00873FD8" w:rsidRPr="00873FD8">
              <w:rPr>
                <w:sz w:val="20"/>
                <w:szCs w:val="20"/>
              </w:rPr>
              <w:t>2,605,16</w:t>
            </w:r>
            <w:r w:rsidR="00873FD8">
              <w:rPr>
                <w:sz w:val="20"/>
                <w:szCs w:val="20"/>
              </w:rPr>
              <w:t>2</w:t>
            </w:r>
          </w:p>
        </w:tc>
        <w:tc>
          <w:tcPr>
            <w:tcW w:w="1488" w:type="dxa"/>
            <w:tcBorders>
              <w:top w:val="single" w:sz="4" w:space="0" w:color="auto"/>
              <w:bottom w:val="double" w:sz="4" w:space="0" w:color="auto"/>
            </w:tcBorders>
          </w:tcPr>
          <w:p w14:paraId="1ED0C992" w14:textId="0035B660" w:rsidR="00116EEF" w:rsidRPr="00873FD8" w:rsidRDefault="00116EEF" w:rsidP="00116EEF">
            <w:pPr>
              <w:tabs>
                <w:tab w:val="left" w:pos="0"/>
                <w:tab w:val="decimal" w:pos="1202"/>
              </w:tabs>
              <w:rPr>
                <w:sz w:val="20"/>
                <w:szCs w:val="20"/>
              </w:rPr>
            </w:pPr>
            <w:r w:rsidRPr="00873FD8">
              <w:rPr>
                <w:sz w:val="20"/>
                <w:szCs w:val="20"/>
              </w:rPr>
              <w:t>$</w:t>
            </w:r>
            <w:r w:rsidRPr="00873FD8">
              <w:rPr>
                <w:sz w:val="20"/>
                <w:szCs w:val="20"/>
              </w:rPr>
              <w:tab/>
              <w:t>3,183,489</w:t>
            </w:r>
          </w:p>
        </w:tc>
      </w:tr>
    </w:tbl>
    <w:p w14:paraId="5C83D68C" w14:textId="77777777" w:rsidR="00E76ECD" w:rsidRPr="0007463E" w:rsidRDefault="00E76ECD" w:rsidP="00E76ECD">
      <w:pPr>
        <w:jc w:val="both"/>
        <w:rPr>
          <w:highlight w:val="yellow"/>
        </w:rPr>
      </w:pPr>
    </w:p>
    <w:p w14:paraId="42475DBB" w14:textId="77777777" w:rsidR="00E76ECD" w:rsidRPr="00873FD8" w:rsidRDefault="00E76ECD" w:rsidP="005C6969">
      <w:pPr>
        <w:pStyle w:val="ListParagraph"/>
        <w:numPr>
          <w:ilvl w:val="0"/>
          <w:numId w:val="6"/>
        </w:numPr>
        <w:jc w:val="both"/>
        <w:rPr>
          <w:i/>
          <w:iCs/>
          <w:sz w:val="20"/>
          <w:szCs w:val="20"/>
        </w:rPr>
      </w:pPr>
      <w:r w:rsidRPr="00873FD8">
        <w:rPr>
          <w:b/>
          <w:bCs/>
          <w:sz w:val="20"/>
          <w:szCs w:val="20"/>
        </w:rPr>
        <w:t xml:space="preserve">10% bonds – original offering </w:t>
      </w:r>
    </w:p>
    <w:p w14:paraId="46E3AA59" w14:textId="77777777" w:rsidR="00E76ECD" w:rsidRPr="00873FD8" w:rsidRDefault="00E76ECD" w:rsidP="00E76ECD">
      <w:pPr>
        <w:jc w:val="both"/>
        <w:rPr>
          <w:sz w:val="20"/>
          <w:szCs w:val="20"/>
        </w:rPr>
      </w:pPr>
    </w:p>
    <w:p w14:paraId="270AE2E3" w14:textId="5ED13836" w:rsidR="00E76ECD" w:rsidRPr="00873FD8" w:rsidRDefault="00E76ECD" w:rsidP="00E76ECD">
      <w:pPr>
        <w:ind w:left="720"/>
        <w:jc w:val="both"/>
        <w:rPr>
          <w:sz w:val="20"/>
          <w:szCs w:val="20"/>
        </w:rPr>
      </w:pPr>
      <w:r w:rsidRPr="00873FD8">
        <w:rPr>
          <w:sz w:val="20"/>
          <w:szCs w:val="20"/>
        </w:rPr>
        <w:t xml:space="preserve">During previous years, the Company had issued an </w:t>
      </w:r>
      <w:proofErr w:type="gramStart"/>
      <w:r w:rsidRPr="00873FD8">
        <w:rPr>
          <w:sz w:val="20"/>
          <w:szCs w:val="20"/>
        </w:rPr>
        <w:t>offering memoranda (the “Original Offering”)</w:t>
      </w:r>
      <w:proofErr w:type="gramEnd"/>
      <w:r w:rsidRPr="00873FD8">
        <w:rPr>
          <w:sz w:val="20"/>
          <w:szCs w:val="20"/>
        </w:rPr>
        <w:t xml:space="preserve"> for unsecured bonds of up to a maximum of 15,000 bonds at a price of $1,000 per bond, for expected total gross proceeds of $15,000,000. The Original Offering was closed on July 15, </w:t>
      </w:r>
      <w:proofErr w:type="gramStart"/>
      <w:r w:rsidRPr="00873FD8">
        <w:rPr>
          <w:sz w:val="20"/>
          <w:szCs w:val="20"/>
        </w:rPr>
        <w:t>2016</w:t>
      </w:r>
      <w:proofErr w:type="gramEnd"/>
      <w:r w:rsidRPr="00873FD8">
        <w:rPr>
          <w:sz w:val="20"/>
          <w:szCs w:val="20"/>
        </w:rPr>
        <w:t xml:space="preserve"> when the New Offering commenced (Note </w:t>
      </w:r>
      <w:r w:rsidR="008D76D9" w:rsidRPr="00873FD8">
        <w:rPr>
          <w:sz w:val="20"/>
          <w:szCs w:val="20"/>
        </w:rPr>
        <w:t>1</w:t>
      </w:r>
      <w:r w:rsidR="008D76D9">
        <w:rPr>
          <w:sz w:val="20"/>
          <w:szCs w:val="20"/>
        </w:rPr>
        <w:t>2</w:t>
      </w:r>
      <w:r w:rsidRPr="00873FD8">
        <w:rPr>
          <w:sz w:val="20"/>
          <w:szCs w:val="20"/>
        </w:rPr>
        <w:t>(c)).</w:t>
      </w:r>
    </w:p>
    <w:p w14:paraId="67AEEE09" w14:textId="77777777" w:rsidR="00E76ECD" w:rsidRPr="00873FD8" w:rsidRDefault="00E76ECD" w:rsidP="00E76ECD">
      <w:pPr>
        <w:ind w:left="720"/>
        <w:jc w:val="both"/>
        <w:rPr>
          <w:sz w:val="20"/>
          <w:szCs w:val="20"/>
        </w:rPr>
      </w:pPr>
    </w:p>
    <w:p w14:paraId="3CEECBBA" w14:textId="77777777" w:rsidR="00E76ECD" w:rsidRPr="00873FD8" w:rsidRDefault="00E76ECD" w:rsidP="00E76ECD">
      <w:pPr>
        <w:ind w:left="720"/>
        <w:jc w:val="both"/>
        <w:rPr>
          <w:sz w:val="20"/>
          <w:szCs w:val="20"/>
        </w:rPr>
      </w:pPr>
      <w:r w:rsidRPr="00873FD8">
        <w:rPr>
          <w:sz w:val="20"/>
          <w:szCs w:val="20"/>
        </w:rPr>
        <w:t>At the time of purchase, subscribers elected one of the following options with respect to the 10% interest payable on the bonds:</w:t>
      </w:r>
    </w:p>
    <w:p w14:paraId="300A6D19" w14:textId="77777777" w:rsidR="00E76ECD" w:rsidRPr="00873FD8" w:rsidRDefault="00E76ECD" w:rsidP="00E76ECD">
      <w:pPr>
        <w:ind w:left="720"/>
        <w:jc w:val="both"/>
        <w:rPr>
          <w:sz w:val="20"/>
          <w:szCs w:val="20"/>
        </w:rPr>
      </w:pPr>
    </w:p>
    <w:p w14:paraId="1B081959" w14:textId="77777777" w:rsidR="00E76ECD" w:rsidRPr="00873FD8" w:rsidRDefault="00E76ECD" w:rsidP="005C6969">
      <w:pPr>
        <w:pStyle w:val="ListParagraph"/>
        <w:numPr>
          <w:ilvl w:val="0"/>
          <w:numId w:val="2"/>
        </w:numPr>
        <w:jc w:val="both"/>
        <w:rPr>
          <w:sz w:val="20"/>
          <w:szCs w:val="20"/>
        </w:rPr>
      </w:pPr>
      <w:r w:rsidRPr="00873FD8">
        <w:rPr>
          <w:sz w:val="20"/>
          <w:szCs w:val="20"/>
        </w:rPr>
        <w:t xml:space="preserve">a bond which entitled the holder to 10% simple interest per annum, payable quarterly at the equivalent quarterly rate of 2.5% within 15 business days of March 15, June 15, September 15 and December 15 of each year during the term of the </w:t>
      </w:r>
      <w:proofErr w:type="gramStart"/>
      <w:r w:rsidRPr="00873FD8">
        <w:rPr>
          <w:sz w:val="20"/>
          <w:szCs w:val="20"/>
        </w:rPr>
        <w:t>bond;</w:t>
      </w:r>
      <w:proofErr w:type="gramEnd"/>
      <w:r w:rsidRPr="00873FD8">
        <w:rPr>
          <w:sz w:val="20"/>
          <w:szCs w:val="20"/>
        </w:rPr>
        <w:t xml:space="preserve"> or</w:t>
      </w:r>
    </w:p>
    <w:p w14:paraId="20C126D4" w14:textId="77777777" w:rsidR="00E76ECD" w:rsidRPr="00873FD8" w:rsidRDefault="00E76ECD" w:rsidP="005C6969">
      <w:pPr>
        <w:pStyle w:val="ListParagraph"/>
        <w:numPr>
          <w:ilvl w:val="0"/>
          <w:numId w:val="2"/>
        </w:numPr>
        <w:jc w:val="both"/>
        <w:rPr>
          <w:sz w:val="20"/>
          <w:szCs w:val="20"/>
        </w:rPr>
      </w:pPr>
      <w:r w:rsidRPr="00873FD8">
        <w:rPr>
          <w:sz w:val="20"/>
          <w:szCs w:val="20"/>
        </w:rPr>
        <w:t xml:space="preserve">a bond which entitled the holder to 10% compound interest calculated annually and payable on the date the bonds are redeemed by the Company in accordance with the terms of the Original Offering. </w:t>
      </w:r>
    </w:p>
    <w:p w14:paraId="2CFB4F09" w14:textId="77777777" w:rsidR="00E76ECD" w:rsidRPr="00873FD8" w:rsidRDefault="00E76ECD" w:rsidP="00E76ECD">
      <w:pPr>
        <w:ind w:left="720"/>
        <w:jc w:val="both"/>
        <w:rPr>
          <w:sz w:val="20"/>
          <w:szCs w:val="20"/>
        </w:rPr>
      </w:pPr>
    </w:p>
    <w:p w14:paraId="4013D2B4" w14:textId="77777777" w:rsidR="00E76ECD" w:rsidRPr="00873FD8" w:rsidRDefault="00E76ECD" w:rsidP="00E76ECD">
      <w:pPr>
        <w:ind w:left="720"/>
        <w:jc w:val="both"/>
        <w:rPr>
          <w:sz w:val="20"/>
          <w:szCs w:val="20"/>
        </w:rPr>
      </w:pPr>
      <w:r w:rsidRPr="00873FD8">
        <w:rPr>
          <w:sz w:val="20"/>
          <w:szCs w:val="20"/>
        </w:rPr>
        <w:t>In the absence of written notice from the bondholder on or before August 31, 2018, the bonds shall mature on November 30, 2023 (the “Second 10% Maturity Date”).</w:t>
      </w:r>
    </w:p>
    <w:p w14:paraId="53871357" w14:textId="77777777" w:rsidR="00E76ECD" w:rsidRPr="00873FD8" w:rsidRDefault="00E76ECD" w:rsidP="00E76ECD">
      <w:pPr>
        <w:ind w:left="720"/>
        <w:jc w:val="both"/>
        <w:rPr>
          <w:sz w:val="20"/>
          <w:szCs w:val="20"/>
        </w:rPr>
      </w:pPr>
    </w:p>
    <w:p w14:paraId="7FFDC32C" w14:textId="77777777" w:rsidR="00E76ECD" w:rsidRPr="00873FD8" w:rsidRDefault="00E76ECD" w:rsidP="00E76ECD">
      <w:pPr>
        <w:ind w:left="720"/>
        <w:jc w:val="both"/>
        <w:rPr>
          <w:sz w:val="20"/>
          <w:szCs w:val="20"/>
        </w:rPr>
      </w:pPr>
      <w:r w:rsidRPr="00873FD8">
        <w:rPr>
          <w:sz w:val="20"/>
          <w:szCs w:val="20"/>
        </w:rPr>
        <w:t>Subject to (</w:t>
      </w:r>
      <w:proofErr w:type="spellStart"/>
      <w:r w:rsidRPr="00873FD8">
        <w:rPr>
          <w:sz w:val="20"/>
          <w:szCs w:val="20"/>
        </w:rPr>
        <w:t>i</w:t>
      </w:r>
      <w:proofErr w:type="spellEnd"/>
      <w:r w:rsidRPr="00873FD8">
        <w:rPr>
          <w:sz w:val="20"/>
          <w:szCs w:val="20"/>
        </w:rPr>
        <w:t xml:space="preserve">) an annual maximum redemption limit of 10% of the bonds outstanding as of the last day of the previous calendar year, and (ii) cash flow of the Company, any individual bondholder may request an early redemption by providing 90 days prior written notice (the "Early Redemption Notice").  Bondholders who redeem some or </w:t>
      </w:r>
      <w:proofErr w:type="gramStart"/>
      <w:r w:rsidRPr="00873FD8">
        <w:rPr>
          <w:sz w:val="20"/>
          <w:szCs w:val="20"/>
        </w:rPr>
        <w:t>all of</w:t>
      </w:r>
      <w:proofErr w:type="gramEnd"/>
      <w:r w:rsidRPr="00873FD8">
        <w:rPr>
          <w:sz w:val="20"/>
          <w:szCs w:val="20"/>
        </w:rPr>
        <w:t xml:space="preserve"> their bonds prior to the First and/or Second 10% Maturity Dates are subject to the following redemption fees:</w:t>
      </w:r>
    </w:p>
    <w:p w14:paraId="453575A1" w14:textId="77777777" w:rsidR="00E76ECD" w:rsidRPr="00873FD8" w:rsidRDefault="00E76ECD" w:rsidP="00E76ECD">
      <w:pPr>
        <w:ind w:left="720"/>
        <w:jc w:val="both"/>
        <w:rPr>
          <w:sz w:val="20"/>
          <w:szCs w:val="20"/>
        </w:rPr>
      </w:pPr>
    </w:p>
    <w:p w14:paraId="2EEE8B10"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between December 1, </w:t>
      </w:r>
      <w:proofErr w:type="gramStart"/>
      <w:r w:rsidRPr="00873FD8">
        <w:rPr>
          <w:sz w:val="20"/>
          <w:szCs w:val="20"/>
        </w:rPr>
        <w:t>2018</w:t>
      </w:r>
      <w:proofErr w:type="gramEnd"/>
      <w:r w:rsidRPr="00873FD8">
        <w:rPr>
          <w:sz w:val="20"/>
          <w:szCs w:val="20"/>
        </w:rPr>
        <w:t xml:space="preserve"> and November 30, 2019 ‐ a redemption fee equal to 5% of the principal amount of the bonds being redeemed by the Company.</w:t>
      </w:r>
    </w:p>
    <w:p w14:paraId="1059BC08"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between December 1, </w:t>
      </w:r>
      <w:proofErr w:type="gramStart"/>
      <w:r w:rsidRPr="00873FD8">
        <w:rPr>
          <w:sz w:val="20"/>
          <w:szCs w:val="20"/>
        </w:rPr>
        <w:t>2019</w:t>
      </w:r>
      <w:proofErr w:type="gramEnd"/>
      <w:r w:rsidRPr="00873FD8">
        <w:rPr>
          <w:sz w:val="20"/>
          <w:szCs w:val="20"/>
        </w:rPr>
        <w:t xml:space="preserve"> and November 30, 2020 ‐ a redemption fee equal to 4% of the principal amount of the bonds being redeemed by the Company.</w:t>
      </w:r>
    </w:p>
    <w:p w14:paraId="5D8F42DD"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between December 1, </w:t>
      </w:r>
      <w:proofErr w:type="gramStart"/>
      <w:r w:rsidRPr="00873FD8">
        <w:rPr>
          <w:sz w:val="20"/>
          <w:szCs w:val="20"/>
        </w:rPr>
        <w:t>2020</w:t>
      </w:r>
      <w:proofErr w:type="gramEnd"/>
      <w:r w:rsidRPr="00873FD8">
        <w:rPr>
          <w:sz w:val="20"/>
          <w:szCs w:val="20"/>
        </w:rPr>
        <w:t xml:space="preserve"> and November 30, 2021 ‐ a redemption fee equal to 3% of the principal amount of the bonds being redeemed by the Company.</w:t>
      </w:r>
    </w:p>
    <w:p w14:paraId="5C050ED2"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between December 1, </w:t>
      </w:r>
      <w:proofErr w:type="gramStart"/>
      <w:r w:rsidRPr="00873FD8">
        <w:rPr>
          <w:sz w:val="20"/>
          <w:szCs w:val="20"/>
        </w:rPr>
        <w:t>2021</w:t>
      </w:r>
      <w:proofErr w:type="gramEnd"/>
      <w:r w:rsidRPr="00873FD8">
        <w:rPr>
          <w:sz w:val="20"/>
          <w:szCs w:val="20"/>
        </w:rPr>
        <w:t xml:space="preserve"> and November 30, 2022 ‐ a redemption fee equal to 2% of the principal amount of the bonds being redeemed by the Company.</w:t>
      </w:r>
    </w:p>
    <w:p w14:paraId="491675C4"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between December 1, </w:t>
      </w:r>
      <w:proofErr w:type="gramStart"/>
      <w:r w:rsidRPr="00873FD8">
        <w:rPr>
          <w:sz w:val="20"/>
          <w:szCs w:val="20"/>
        </w:rPr>
        <w:t>2022</w:t>
      </w:r>
      <w:proofErr w:type="gramEnd"/>
      <w:r w:rsidRPr="00873FD8">
        <w:rPr>
          <w:sz w:val="20"/>
          <w:szCs w:val="20"/>
        </w:rPr>
        <w:t xml:space="preserve"> and November 29, 2023 ‐ a redemption fee equal to 1% of the principal amount of the bonds being redeemed by the Company.</w:t>
      </w:r>
    </w:p>
    <w:p w14:paraId="7DB0B41F" w14:textId="77777777" w:rsidR="00E76ECD" w:rsidRPr="00873FD8" w:rsidRDefault="00E76ECD" w:rsidP="00E76ECD">
      <w:pPr>
        <w:jc w:val="both"/>
        <w:rPr>
          <w:sz w:val="20"/>
          <w:szCs w:val="20"/>
        </w:rPr>
      </w:pPr>
    </w:p>
    <w:p w14:paraId="7EFAF3E2" w14:textId="77777777" w:rsidR="00E76ECD" w:rsidRPr="00873FD8" w:rsidRDefault="00E76ECD" w:rsidP="00E76ECD">
      <w:pPr>
        <w:ind w:left="720"/>
        <w:jc w:val="both"/>
        <w:rPr>
          <w:sz w:val="20"/>
          <w:szCs w:val="20"/>
        </w:rPr>
      </w:pPr>
      <w:r w:rsidRPr="00873FD8">
        <w:rPr>
          <w:sz w:val="20"/>
          <w:szCs w:val="20"/>
        </w:rPr>
        <w:t>Redemption fees are deducted by the Company from the redemption amount to be paid to the bondholder.</w:t>
      </w:r>
    </w:p>
    <w:p w14:paraId="7C6B1138" w14:textId="77777777" w:rsidR="00E76ECD" w:rsidRPr="00873FD8" w:rsidRDefault="00E76ECD" w:rsidP="00E76ECD">
      <w:pPr>
        <w:ind w:left="720"/>
        <w:jc w:val="both"/>
        <w:rPr>
          <w:sz w:val="20"/>
          <w:szCs w:val="20"/>
        </w:rPr>
      </w:pPr>
    </w:p>
    <w:p w14:paraId="328095BE" w14:textId="0133B2B7" w:rsidR="00E76ECD" w:rsidRPr="00873FD8" w:rsidRDefault="00E76ECD" w:rsidP="00E76ECD">
      <w:pPr>
        <w:ind w:left="720"/>
        <w:jc w:val="both"/>
        <w:rPr>
          <w:sz w:val="20"/>
          <w:szCs w:val="20"/>
        </w:rPr>
      </w:pPr>
      <w:r w:rsidRPr="00873FD8">
        <w:rPr>
          <w:sz w:val="20"/>
          <w:szCs w:val="20"/>
        </w:rPr>
        <w:t xml:space="preserve">During the </w:t>
      </w:r>
      <w:r w:rsidR="009A3116" w:rsidRPr="00873FD8">
        <w:rPr>
          <w:sz w:val="20"/>
          <w:szCs w:val="20"/>
        </w:rPr>
        <w:t xml:space="preserve">period ended </w:t>
      </w:r>
      <w:r w:rsidR="00C117D6" w:rsidRPr="00873FD8">
        <w:rPr>
          <w:sz w:val="20"/>
          <w:szCs w:val="20"/>
        </w:rPr>
        <w:t>June 30</w:t>
      </w:r>
      <w:r w:rsidR="009A3116" w:rsidRPr="00873FD8">
        <w:rPr>
          <w:sz w:val="20"/>
          <w:szCs w:val="20"/>
        </w:rPr>
        <w:t>, 2021</w:t>
      </w:r>
      <w:r w:rsidRPr="00873FD8">
        <w:rPr>
          <w:sz w:val="20"/>
          <w:szCs w:val="20"/>
        </w:rPr>
        <w:t xml:space="preserve">, </w:t>
      </w:r>
      <w:r w:rsidR="009A3116" w:rsidRPr="00873FD8">
        <w:rPr>
          <w:sz w:val="20"/>
          <w:szCs w:val="20"/>
        </w:rPr>
        <w:t>no</w:t>
      </w:r>
      <w:r w:rsidRPr="00873FD8">
        <w:rPr>
          <w:sz w:val="20"/>
          <w:szCs w:val="20"/>
        </w:rPr>
        <w:t xml:space="preserve"> bonds under the Original Offering were redeemed.</w:t>
      </w:r>
    </w:p>
    <w:p w14:paraId="375BBD72" w14:textId="557F8346" w:rsidR="00096524" w:rsidRPr="00873FD8" w:rsidRDefault="00096524" w:rsidP="00E76ECD">
      <w:pPr>
        <w:ind w:left="720"/>
        <w:jc w:val="both"/>
        <w:rPr>
          <w:sz w:val="20"/>
          <w:szCs w:val="20"/>
        </w:rPr>
      </w:pPr>
    </w:p>
    <w:p w14:paraId="17DBF6F7" w14:textId="6C9E0FBC" w:rsidR="00096524" w:rsidRPr="00873FD8" w:rsidRDefault="00096524" w:rsidP="00E76ECD">
      <w:pPr>
        <w:ind w:left="720"/>
        <w:jc w:val="both"/>
        <w:rPr>
          <w:sz w:val="20"/>
          <w:szCs w:val="20"/>
        </w:rPr>
      </w:pPr>
    </w:p>
    <w:p w14:paraId="3D12228B" w14:textId="77777777" w:rsidR="00096524" w:rsidRPr="00873FD8" w:rsidRDefault="00096524" w:rsidP="00096524">
      <w:pPr>
        <w:pStyle w:val="ListParagraph"/>
        <w:numPr>
          <w:ilvl w:val="0"/>
          <w:numId w:val="30"/>
        </w:numPr>
        <w:ind w:left="284"/>
        <w:jc w:val="both"/>
        <w:rPr>
          <w:sz w:val="20"/>
          <w:szCs w:val="20"/>
        </w:rPr>
      </w:pPr>
      <w:r w:rsidRPr="00873FD8">
        <w:rPr>
          <w:b/>
          <w:bCs/>
          <w:sz w:val="20"/>
          <w:szCs w:val="20"/>
        </w:rPr>
        <w:t>BONDS</w:t>
      </w:r>
      <w:r w:rsidRPr="00873FD8">
        <w:rPr>
          <w:sz w:val="20"/>
          <w:szCs w:val="20"/>
        </w:rPr>
        <w:t xml:space="preserve"> </w:t>
      </w:r>
      <w:r w:rsidRPr="00873FD8">
        <w:rPr>
          <w:i/>
          <w:iCs/>
          <w:sz w:val="20"/>
          <w:szCs w:val="20"/>
        </w:rPr>
        <w:t>(cont’d…)</w:t>
      </w:r>
    </w:p>
    <w:p w14:paraId="09FD725E" w14:textId="77777777" w:rsidR="00E76ECD" w:rsidRPr="00873FD8" w:rsidRDefault="00E76ECD" w:rsidP="00E76ECD">
      <w:pPr>
        <w:jc w:val="both"/>
        <w:rPr>
          <w:b/>
          <w:bCs/>
          <w:sz w:val="20"/>
          <w:szCs w:val="20"/>
        </w:rPr>
      </w:pPr>
    </w:p>
    <w:p w14:paraId="5B19398B" w14:textId="77777777" w:rsidR="00E76ECD" w:rsidRPr="00873FD8" w:rsidRDefault="00E76ECD" w:rsidP="005C6969">
      <w:pPr>
        <w:pStyle w:val="ListParagraph"/>
        <w:numPr>
          <w:ilvl w:val="0"/>
          <w:numId w:val="15"/>
        </w:numPr>
        <w:jc w:val="both"/>
        <w:rPr>
          <w:b/>
          <w:bCs/>
          <w:sz w:val="20"/>
          <w:szCs w:val="20"/>
        </w:rPr>
      </w:pPr>
      <w:r w:rsidRPr="00873FD8">
        <w:rPr>
          <w:b/>
          <w:bCs/>
          <w:sz w:val="20"/>
          <w:szCs w:val="20"/>
        </w:rPr>
        <w:t>8% and 9% bonds – new offering</w:t>
      </w:r>
    </w:p>
    <w:p w14:paraId="71C16894" w14:textId="77777777" w:rsidR="00E76ECD" w:rsidRPr="00873FD8" w:rsidRDefault="00E76ECD" w:rsidP="00E76ECD">
      <w:pPr>
        <w:ind w:left="720"/>
        <w:jc w:val="both"/>
        <w:rPr>
          <w:sz w:val="20"/>
          <w:szCs w:val="20"/>
        </w:rPr>
      </w:pPr>
    </w:p>
    <w:p w14:paraId="23D5E2DD" w14:textId="77777777" w:rsidR="00E76ECD" w:rsidRPr="00873FD8" w:rsidRDefault="00E76ECD" w:rsidP="00E76ECD">
      <w:pPr>
        <w:ind w:left="720"/>
        <w:jc w:val="both"/>
        <w:rPr>
          <w:sz w:val="20"/>
          <w:szCs w:val="20"/>
        </w:rPr>
      </w:pPr>
      <w:r w:rsidRPr="00873FD8">
        <w:rPr>
          <w:sz w:val="20"/>
          <w:szCs w:val="20"/>
        </w:rPr>
        <w:t>On July 15, 2016, the Company issued a new offering memorandum (the “New Offering”) for a maximum of 50,000 unsecured bonds, at a price of $1,000 per bond, for expected total gross proceeds of $50,000,000 and comprising of 1 year 8% bonds and 3 year 9% bonds. The 8% bonds can be redeemed on the first anniversary of the date of issue to the bondholder (the “First 8% Maturity Date”) and the 9% bonds can be redeemed on the third anniversary of the date of issue to the bondholder (the “First 9% Maturity Date”).</w:t>
      </w:r>
    </w:p>
    <w:p w14:paraId="5F6CFDBE" w14:textId="77777777" w:rsidR="00E76ECD" w:rsidRPr="00873FD8" w:rsidRDefault="00E76ECD" w:rsidP="00E76ECD">
      <w:pPr>
        <w:ind w:left="720"/>
        <w:jc w:val="both"/>
        <w:rPr>
          <w:sz w:val="20"/>
          <w:szCs w:val="20"/>
        </w:rPr>
      </w:pPr>
    </w:p>
    <w:p w14:paraId="734F4A78" w14:textId="66C01662" w:rsidR="00E76ECD" w:rsidRPr="00873FD8" w:rsidRDefault="00E76ECD" w:rsidP="00E76ECD">
      <w:pPr>
        <w:ind w:left="720"/>
        <w:jc w:val="both"/>
        <w:rPr>
          <w:sz w:val="20"/>
          <w:szCs w:val="20"/>
        </w:rPr>
      </w:pPr>
      <w:r w:rsidRPr="00873FD8">
        <w:rPr>
          <w:sz w:val="20"/>
          <w:szCs w:val="20"/>
        </w:rPr>
        <w:t>At the time of purchase, the subscribers elected one of the following two options with respect to the 8% or 9% interest payable on the bonds:</w:t>
      </w:r>
    </w:p>
    <w:p w14:paraId="7227A329" w14:textId="77777777" w:rsidR="00096524" w:rsidRPr="00873FD8" w:rsidRDefault="00096524" w:rsidP="00E76ECD">
      <w:pPr>
        <w:ind w:left="720"/>
        <w:jc w:val="both"/>
        <w:rPr>
          <w:sz w:val="20"/>
          <w:szCs w:val="20"/>
        </w:rPr>
      </w:pPr>
    </w:p>
    <w:p w14:paraId="0BC04473"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the bond entitled the holder to 8% or 9% simple interest per annum, payable monthly at the equivalent monthly rate of 0.67% or 0.75%, respectively, within 15 business days of the end of each month, during the term of the </w:t>
      </w:r>
      <w:proofErr w:type="gramStart"/>
      <w:r w:rsidRPr="00873FD8">
        <w:rPr>
          <w:sz w:val="20"/>
          <w:szCs w:val="20"/>
        </w:rPr>
        <w:t>bond;</w:t>
      </w:r>
      <w:proofErr w:type="gramEnd"/>
      <w:r w:rsidRPr="00873FD8">
        <w:rPr>
          <w:sz w:val="20"/>
          <w:szCs w:val="20"/>
        </w:rPr>
        <w:t xml:space="preserve"> or</w:t>
      </w:r>
    </w:p>
    <w:p w14:paraId="6A0EAD24"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the bond entitled the holder to 8% or 9% compound interest calculated annually and payable on the date the bond is redeemed by the Company in accordance with the terms of the New Offering. </w:t>
      </w:r>
    </w:p>
    <w:p w14:paraId="50153537" w14:textId="77777777" w:rsidR="00E76ECD" w:rsidRPr="00873FD8" w:rsidRDefault="00E76ECD" w:rsidP="00E76ECD">
      <w:pPr>
        <w:ind w:left="720"/>
        <w:jc w:val="both"/>
        <w:rPr>
          <w:sz w:val="20"/>
          <w:szCs w:val="20"/>
        </w:rPr>
      </w:pPr>
    </w:p>
    <w:p w14:paraId="58A7517A" w14:textId="77777777" w:rsidR="00E76ECD" w:rsidRPr="00873FD8" w:rsidRDefault="00E76ECD" w:rsidP="00E76ECD">
      <w:pPr>
        <w:ind w:left="720"/>
        <w:jc w:val="both"/>
        <w:rPr>
          <w:sz w:val="20"/>
          <w:szCs w:val="20"/>
        </w:rPr>
      </w:pPr>
      <w:r w:rsidRPr="00873FD8">
        <w:rPr>
          <w:sz w:val="20"/>
          <w:szCs w:val="20"/>
        </w:rPr>
        <w:t>In the absence of written notice from the bondholder at least 90 days prior to the First 8% Maturity Date or the First 9% Maturity Date, the bonds shall mature on the following dates:</w:t>
      </w:r>
    </w:p>
    <w:p w14:paraId="25ED8EA3" w14:textId="77777777" w:rsidR="00E76ECD" w:rsidRPr="00873FD8" w:rsidRDefault="00E76ECD" w:rsidP="00E76ECD">
      <w:pPr>
        <w:pStyle w:val="ListParagraph"/>
        <w:ind w:left="1134"/>
        <w:jc w:val="both"/>
        <w:rPr>
          <w:sz w:val="20"/>
          <w:szCs w:val="20"/>
        </w:rPr>
      </w:pPr>
    </w:p>
    <w:p w14:paraId="2585CA79"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in the case of the 8% bonds, on the next occurring anniversary of the First 8% Maturity Date if at least 90 days prior to such anniversary a redemption notice has been delivered (the “Subsequent 8% Maturity Date”); and</w:t>
      </w:r>
    </w:p>
    <w:p w14:paraId="18B553D5"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in the case of the 9% bonds, on the third anniversary of the First 9% Maturity Date (the “Second 9% Maturity Date”).</w:t>
      </w:r>
    </w:p>
    <w:p w14:paraId="7F5DDDFA" w14:textId="77777777" w:rsidR="00E76ECD" w:rsidRPr="00873FD8" w:rsidRDefault="00E76ECD" w:rsidP="00E76ECD">
      <w:pPr>
        <w:jc w:val="both"/>
        <w:rPr>
          <w:sz w:val="20"/>
          <w:szCs w:val="20"/>
        </w:rPr>
      </w:pPr>
    </w:p>
    <w:p w14:paraId="4F19CA96" w14:textId="77777777" w:rsidR="00E76ECD" w:rsidRPr="00873FD8" w:rsidRDefault="00E76ECD" w:rsidP="00E76ECD">
      <w:pPr>
        <w:ind w:left="720"/>
        <w:jc w:val="both"/>
        <w:rPr>
          <w:sz w:val="20"/>
          <w:szCs w:val="20"/>
        </w:rPr>
      </w:pPr>
      <w:r w:rsidRPr="00873FD8">
        <w:rPr>
          <w:sz w:val="20"/>
          <w:szCs w:val="20"/>
        </w:rPr>
        <w:t>On each Subsequent 8% Maturity Date and the Second 9% Maturity Date, the Company can redeem all 8% bonds that have not been reinvested (that is, where the maturity date has not been extended) and all 9% bonds, respectively, outstanding on that date by payment of the principal amount of the bonds and all accrued and unpaid interest thereon. Subject to (</w:t>
      </w:r>
      <w:proofErr w:type="spellStart"/>
      <w:r w:rsidRPr="00873FD8">
        <w:rPr>
          <w:sz w:val="20"/>
          <w:szCs w:val="20"/>
        </w:rPr>
        <w:t>i</w:t>
      </w:r>
      <w:proofErr w:type="spellEnd"/>
      <w:r w:rsidRPr="00873FD8">
        <w:rPr>
          <w:sz w:val="20"/>
          <w:szCs w:val="20"/>
        </w:rPr>
        <w:t xml:space="preserve">) an annual maximum redemption limit of 10% of the bonds outstanding as of the last day of the previous calendar year, and (ii) cash flow of the Company, any individual bondholder may request redemption of some or </w:t>
      </w:r>
      <w:proofErr w:type="gramStart"/>
      <w:r w:rsidRPr="00873FD8">
        <w:rPr>
          <w:sz w:val="20"/>
          <w:szCs w:val="20"/>
        </w:rPr>
        <w:t>all of</w:t>
      </w:r>
      <w:proofErr w:type="gramEnd"/>
      <w:r w:rsidRPr="00873FD8">
        <w:rPr>
          <w:sz w:val="20"/>
          <w:szCs w:val="20"/>
        </w:rPr>
        <w:t xml:space="preserve"> their bonds by providing 90 days prior written notice (the "Early Redemption Notice").  </w:t>
      </w:r>
    </w:p>
    <w:p w14:paraId="2B7DC59E" w14:textId="77777777" w:rsidR="00E76ECD" w:rsidRPr="00873FD8" w:rsidRDefault="00E76ECD" w:rsidP="00E76ECD">
      <w:pPr>
        <w:ind w:left="720"/>
        <w:jc w:val="both"/>
        <w:rPr>
          <w:sz w:val="20"/>
          <w:szCs w:val="20"/>
        </w:rPr>
      </w:pPr>
    </w:p>
    <w:p w14:paraId="1313122C" w14:textId="77777777" w:rsidR="00E76ECD" w:rsidRPr="00873FD8" w:rsidRDefault="00E76ECD" w:rsidP="00E76ECD">
      <w:pPr>
        <w:ind w:left="720"/>
        <w:jc w:val="both"/>
        <w:rPr>
          <w:sz w:val="20"/>
          <w:szCs w:val="20"/>
        </w:rPr>
      </w:pPr>
      <w:r w:rsidRPr="00873FD8">
        <w:rPr>
          <w:sz w:val="20"/>
          <w:szCs w:val="20"/>
        </w:rPr>
        <w:t xml:space="preserve">8% bondholders who redeem some or </w:t>
      </w:r>
      <w:proofErr w:type="gramStart"/>
      <w:r w:rsidRPr="00873FD8">
        <w:rPr>
          <w:sz w:val="20"/>
          <w:szCs w:val="20"/>
        </w:rPr>
        <w:t>all of</w:t>
      </w:r>
      <w:proofErr w:type="gramEnd"/>
      <w:r w:rsidRPr="00873FD8">
        <w:rPr>
          <w:sz w:val="20"/>
          <w:szCs w:val="20"/>
        </w:rPr>
        <w:t xml:space="preserve"> their bonds prior to the First and/or Subsequent 8% Maturity Date are subject to a redemption fee equal to 2.5% of the principal amount of the bonds being redeemed by the Company.</w:t>
      </w:r>
    </w:p>
    <w:p w14:paraId="5DACD84E" w14:textId="77777777" w:rsidR="00E76ECD" w:rsidRPr="00873FD8" w:rsidRDefault="00E76ECD" w:rsidP="00E76ECD">
      <w:pPr>
        <w:ind w:left="720"/>
        <w:jc w:val="both"/>
        <w:rPr>
          <w:sz w:val="20"/>
          <w:szCs w:val="20"/>
        </w:rPr>
      </w:pPr>
    </w:p>
    <w:p w14:paraId="4AF31CA0" w14:textId="77777777" w:rsidR="00E76ECD" w:rsidRPr="00873FD8" w:rsidRDefault="00E76ECD" w:rsidP="00E76ECD">
      <w:pPr>
        <w:ind w:left="720"/>
        <w:jc w:val="both"/>
        <w:rPr>
          <w:sz w:val="20"/>
          <w:szCs w:val="20"/>
        </w:rPr>
      </w:pPr>
      <w:r w:rsidRPr="00873FD8">
        <w:rPr>
          <w:sz w:val="20"/>
          <w:szCs w:val="20"/>
        </w:rPr>
        <w:t xml:space="preserve">9% bondholders who redeem some or </w:t>
      </w:r>
      <w:proofErr w:type="gramStart"/>
      <w:r w:rsidRPr="00873FD8">
        <w:rPr>
          <w:sz w:val="20"/>
          <w:szCs w:val="20"/>
        </w:rPr>
        <w:t>all of</w:t>
      </w:r>
      <w:proofErr w:type="gramEnd"/>
      <w:r w:rsidRPr="00873FD8">
        <w:rPr>
          <w:sz w:val="20"/>
          <w:szCs w:val="20"/>
        </w:rPr>
        <w:t xml:space="preserve"> their bonds prior to the First and/or Second 9% Maturity Date are subject to the following redemption fees:</w:t>
      </w:r>
    </w:p>
    <w:p w14:paraId="6B9DFC5D" w14:textId="77777777" w:rsidR="00E76ECD" w:rsidRPr="00873FD8" w:rsidRDefault="00E76ECD" w:rsidP="00E76ECD">
      <w:pPr>
        <w:pStyle w:val="ListParagraph"/>
        <w:ind w:left="1134"/>
        <w:jc w:val="both"/>
        <w:rPr>
          <w:sz w:val="20"/>
          <w:szCs w:val="20"/>
        </w:rPr>
      </w:pPr>
    </w:p>
    <w:p w14:paraId="26E77E9D"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on or after the second anniversary, but </w:t>
      </w:r>
      <w:proofErr w:type="gramStart"/>
      <w:r w:rsidRPr="00873FD8">
        <w:rPr>
          <w:sz w:val="20"/>
          <w:szCs w:val="20"/>
        </w:rPr>
        <w:t>prior to the third anniversary,</w:t>
      </w:r>
      <w:proofErr w:type="gramEnd"/>
      <w:r w:rsidRPr="00873FD8">
        <w:rPr>
          <w:sz w:val="20"/>
          <w:szCs w:val="20"/>
        </w:rPr>
        <w:t xml:space="preserve"> of the date the bond was issued – a redemption fee equal to 2% of the principal amount of the bonds being redeemed by the Company, except where a bondholder’s request is in accordance with the First 9% Redemption Notice.</w:t>
      </w:r>
    </w:p>
    <w:p w14:paraId="19F10635"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on or after the third anniversary, but </w:t>
      </w:r>
      <w:proofErr w:type="gramStart"/>
      <w:r w:rsidRPr="00873FD8">
        <w:rPr>
          <w:sz w:val="20"/>
          <w:szCs w:val="20"/>
        </w:rPr>
        <w:t>prior to the fourth anniversary,</w:t>
      </w:r>
      <w:proofErr w:type="gramEnd"/>
      <w:r w:rsidRPr="00873FD8">
        <w:rPr>
          <w:sz w:val="20"/>
          <w:szCs w:val="20"/>
        </w:rPr>
        <w:t xml:space="preserve"> of the date the bond was issued – a redemption fee equal to 6% of the principal amount of the bonds being redeemed by the Company.</w:t>
      </w:r>
    </w:p>
    <w:p w14:paraId="4E87E96F" w14:textId="75AB5BDE"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on or after the fourth anniversary, but </w:t>
      </w:r>
      <w:proofErr w:type="gramStart"/>
      <w:r w:rsidRPr="00873FD8">
        <w:rPr>
          <w:sz w:val="20"/>
          <w:szCs w:val="20"/>
        </w:rPr>
        <w:t>prior to the fifth anniversary,</w:t>
      </w:r>
      <w:proofErr w:type="gramEnd"/>
      <w:r w:rsidRPr="00873FD8">
        <w:rPr>
          <w:sz w:val="20"/>
          <w:szCs w:val="20"/>
        </w:rPr>
        <w:t xml:space="preserve"> of the date the bond was issued – a redemption fee equal to 4% of the principal amount of the bonds being redeemed by the Company.</w:t>
      </w:r>
    </w:p>
    <w:p w14:paraId="49F05D24" w14:textId="253213E8" w:rsidR="00096524" w:rsidRPr="00873FD8" w:rsidRDefault="00096524" w:rsidP="00096524">
      <w:pPr>
        <w:pStyle w:val="ListParagraph"/>
        <w:ind w:left="1134"/>
        <w:jc w:val="both"/>
        <w:rPr>
          <w:sz w:val="20"/>
          <w:szCs w:val="20"/>
        </w:rPr>
      </w:pPr>
    </w:p>
    <w:p w14:paraId="4233D6E8" w14:textId="77777777" w:rsidR="00096524" w:rsidRPr="00873FD8" w:rsidRDefault="00096524" w:rsidP="00096524">
      <w:pPr>
        <w:pStyle w:val="ListParagraph"/>
        <w:numPr>
          <w:ilvl w:val="0"/>
          <w:numId w:val="31"/>
        </w:numPr>
        <w:ind w:left="284"/>
        <w:jc w:val="both"/>
        <w:rPr>
          <w:b/>
          <w:bCs/>
          <w:sz w:val="20"/>
          <w:szCs w:val="20"/>
        </w:rPr>
      </w:pPr>
      <w:r w:rsidRPr="00873FD8">
        <w:rPr>
          <w:b/>
          <w:bCs/>
          <w:sz w:val="20"/>
          <w:szCs w:val="20"/>
        </w:rPr>
        <w:t>BONDS</w:t>
      </w:r>
      <w:r w:rsidRPr="00873FD8">
        <w:rPr>
          <w:sz w:val="20"/>
          <w:szCs w:val="20"/>
        </w:rPr>
        <w:t xml:space="preserve"> </w:t>
      </w:r>
      <w:r w:rsidRPr="00873FD8">
        <w:rPr>
          <w:i/>
          <w:iCs/>
          <w:sz w:val="20"/>
          <w:szCs w:val="20"/>
        </w:rPr>
        <w:t>(cont’d…)</w:t>
      </w:r>
    </w:p>
    <w:p w14:paraId="59C86C61" w14:textId="77777777" w:rsidR="00096524" w:rsidRPr="00873FD8" w:rsidRDefault="00096524" w:rsidP="00096524">
      <w:pPr>
        <w:pStyle w:val="ListParagraph"/>
        <w:jc w:val="both"/>
        <w:rPr>
          <w:b/>
          <w:bCs/>
          <w:sz w:val="20"/>
          <w:szCs w:val="20"/>
        </w:rPr>
      </w:pPr>
    </w:p>
    <w:p w14:paraId="78F2A6DE" w14:textId="77777777" w:rsidR="00096524" w:rsidRPr="00873FD8" w:rsidRDefault="00096524" w:rsidP="00096524">
      <w:pPr>
        <w:pStyle w:val="ListParagraph"/>
        <w:numPr>
          <w:ilvl w:val="0"/>
          <w:numId w:val="16"/>
        </w:numPr>
        <w:jc w:val="both"/>
        <w:rPr>
          <w:b/>
          <w:bCs/>
          <w:sz w:val="20"/>
          <w:szCs w:val="20"/>
        </w:rPr>
      </w:pPr>
      <w:r w:rsidRPr="00873FD8">
        <w:rPr>
          <w:b/>
          <w:bCs/>
          <w:sz w:val="20"/>
          <w:szCs w:val="20"/>
        </w:rPr>
        <w:t xml:space="preserve">8% and 9% bonds – new offering </w:t>
      </w:r>
      <w:r w:rsidRPr="00873FD8">
        <w:rPr>
          <w:i/>
          <w:iCs/>
          <w:sz w:val="20"/>
          <w:szCs w:val="20"/>
        </w:rPr>
        <w:t>(cont’d…)</w:t>
      </w:r>
    </w:p>
    <w:p w14:paraId="40BA1BA2" w14:textId="3EC2ED98" w:rsidR="00096524" w:rsidRPr="00873FD8" w:rsidRDefault="00096524" w:rsidP="00096524">
      <w:pPr>
        <w:pStyle w:val="ListParagraph"/>
        <w:ind w:left="1134"/>
        <w:jc w:val="both"/>
        <w:rPr>
          <w:sz w:val="20"/>
          <w:szCs w:val="20"/>
        </w:rPr>
      </w:pPr>
    </w:p>
    <w:p w14:paraId="4F131A6B" w14:textId="77777777" w:rsidR="00E76ECD" w:rsidRPr="00873FD8" w:rsidRDefault="00E76ECD" w:rsidP="005C6969">
      <w:pPr>
        <w:pStyle w:val="ListParagraph"/>
        <w:numPr>
          <w:ilvl w:val="0"/>
          <w:numId w:val="3"/>
        </w:numPr>
        <w:ind w:left="1134"/>
        <w:jc w:val="both"/>
        <w:rPr>
          <w:sz w:val="20"/>
          <w:szCs w:val="20"/>
        </w:rPr>
      </w:pPr>
      <w:r w:rsidRPr="00873FD8">
        <w:rPr>
          <w:sz w:val="20"/>
          <w:szCs w:val="20"/>
        </w:rPr>
        <w:t xml:space="preserve">Early Redemption Notice received on or after the fifth anniversary, but </w:t>
      </w:r>
      <w:proofErr w:type="gramStart"/>
      <w:r w:rsidRPr="00873FD8">
        <w:rPr>
          <w:sz w:val="20"/>
          <w:szCs w:val="20"/>
        </w:rPr>
        <w:t>prior to the sixth anniversary,</w:t>
      </w:r>
      <w:proofErr w:type="gramEnd"/>
      <w:r w:rsidRPr="00873FD8">
        <w:rPr>
          <w:sz w:val="20"/>
          <w:szCs w:val="20"/>
        </w:rPr>
        <w:t xml:space="preserve"> of the date the bond was issued – a redemption fee equal to 2% of the principal amount of the bonds being redeemed by the Company.  </w:t>
      </w:r>
    </w:p>
    <w:p w14:paraId="2AE96592" w14:textId="77777777" w:rsidR="00E76ECD" w:rsidRPr="00873FD8" w:rsidRDefault="00E76ECD" w:rsidP="00E76ECD">
      <w:pPr>
        <w:jc w:val="both"/>
        <w:rPr>
          <w:b/>
          <w:bCs/>
          <w:sz w:val="20"/>
          <w:szCs w:val="20"/>
        </w:rPr>
      </w:pPr>
    </w:p>
    <w:p w14:paraId="56EA5EB1" w14:textId="77777777" w:rsidR="00E76ECD" w:rsidRPr="00873FD8" w:rsidRDefault="00E76ECD" w:rsidP="00E76ECD">
      <w:pPr>
        <w:ind w:left="720"/>
        <w:jc w:val="both"/>
        <w:rPr>
          <w:sz w:val="20"/>
          <w:szCs w:val="20"/>
        </w:rPr>
      </w:pPr>
      <w:r w:rsidRPr="00873FD8">
        <w:rPr>
          <w:sz w:val="20"/>
          <w:szCs w:val="20"/>
        </w:rPr>
        <w:t>Redemption fees are deducted by the Company from the redemption amount to be paid to the bondholder.</w:t>
      </w:r>
    </w:p>
    <w:p w14:paraId="783F7F2B" w14:textId="77777777" w:rsidR="00E76ECD" w:rsidRPr="00873FD8" w:rsidRDefault="00E76ECD" w:rsidP="00E76ECD">
      <w:pPr>
        <w:ind w:left="720"/>
        <w:jc w:val="both"/>
        <w:rPr>
          <w:sz w:val="20"/>
          <w:szCs w:val="20"/>
        </w:rPr>
      </w:pPr>
    </w:p>
    <w:p w14:paraId="36FE90C7" w14:textId="21C8A096" w:rsidR="00E76ECD" w:rsidRPr="00873FD8" w:rsidRDefault="00E76ECD" w:rsidP="00E76ECD">
      <w:pPr>
        <w:ind w:left="720"/>
        <w:jc w:val="both"/>
        <w:rPr>
          <w:b/>
          <w:bCs/>
          <w:sz w:val="20"/>
          <w:szCs w:val="20"/>
        </w:rPr>
      </w:pPr>
      <w:r w:rsidRPr="00873FD8">
        <w:rPr>
          <w:sz w:val="20"/>
          <w:szCs w:val="20"/>
        </w:rPr>
        <w:t xml:space="preserve">During the </w:t>
      </w:r>
      <w:r w:rsidR="00C117D6" w:rsidRPr="00873FD8">
        <w:rPr>
          <w:sz w:val="20"/>
          <w:szCs w:val="20"/>
        </w:rPr>
        <w:t>six months</w:t>
      </w:r>
      <w:r w:rsidR="00280C07" w:rsidRPr="00873FD8">
        <w:rPr>
          <w:sz w:val="20"/>
          <w:szCs w:val="20"/>
        </w:rPr>
        <w:t xml:space="preserve"> </w:t>
      </w:r>
      <w:r w:rsidR="009A3116" w:rsidRPr="00873FD8">
        <w:rPr>
          <w:sz w:val="20"/>
          <w:szCs w:val="20"/>
        </w:rPr>
        <w:t xml:space="preserve">ended </w:t>
      </w:r>
      <w:r w:rsidR="00C117D6" w:rsidRPr="00873FD8">
        <w:rPr>
          <w:sz w:val="20"/>
          <w:szCs w:val="20"/>
        </w:rPr>
        <w:t>June 30</w:t>
      </w:r>
      <w:r w:rsidR="009A3116" w:rsidRPr="00873FD8">
        <w:rPr>
          <w:sz w:val="20"/>
          <w:szCs w:val="20"/>
        </w:rPr>
        <w:t>, 2021</w:t>
      </w:r>
      <w:r w:rsidRPr="00873FD8">
        <w:rPr>
          <w:sz w:val="20"/>
          <w:szCs w:val="20"/>
        </w:rPr>
        <w:t>, a total of $</w:t>
      </w:r>
      <w:r w:rsidR="009A3116" w:rsidRPr="00873FD8">
        <w:rPr>
          <w:sz w:val="20"/>
          <w:szCs w:val="20"/>
        </w:rPr>
        <w:t>nil</w:t>
      </w:r>
      <w:r w:rsidRPr="00873FD8">
        <w:rPr>
          <w:sz w:val="20"/>
          <w:szCs w:val="20"/>
        </w:rPr>
        <w:t xml:space="preserve"> of 8% bonds and $</w:t>
      </w:r>
      <w:r w:rsidR="0007463E" w:rsidRPr="00873FD8">
        <w:rPr>
          <w:sz w:val="20"/>
          <w:szCs w:val="20"/>
        </w:rPr>
        <w:t>21,661</w:t>
      </w:r>
      <w:r w:rsidRPr="00873FD8">
        <w:rPr>
          <w:sz w:val="20"/>
          <w:szCs w:val="20"/>
        </w:rPr>
        <w:t xml:space="preserve"> of 9% bonds were redeemed.</w:t>
      </w:r>
    </w:p>
    <w:p w14:paraId="5D4B963C" w14:textId="77777777" w:rsidR="00E76ECD" w:rsidRPr="00873FD8" w:rsidRDefault="00E76ECD" w:rsidP="00E76ECD">
      <w:pPr>
        <w:jc w:val="both"/>
        <w:rPr>
          <w:b/>
          <w:bCs/>
          <w:sz w:val="20"/>
          <w:szCs w:val="20"/>
        </w:rPr>
      </w:pPr>
    </w:p>
    <w:p w14:paraId="37CF6AC4" w14:textId="77777777" w:rsidR="00E76ECD" w:rsidRPr="00873FD8" w:rsidRDefault="00E76ECD" w:rsidP="005C6969">
      <w:pPr>
        <w:pStyle w:val="ListParagraph"/>
        <w:numPr>
          <w:ilvl w:val="0"/>
          <w:numId w:val="17"/>
        </w:numPr>
        <w:jc w:val="both"/>
        <w:rPr>
          <w:b/>
          <w:bCs/>
          <w:sz w:val="20"/>
          <w:szCs w:val="20"/>
        </w:rPr>
      </w:pPr>
      <w:r w:rsidRPr="00873FD8">
        <w:rPr>
          <w:b/>
          <w:bCs/>
          <w:sz w:val="20"/>
          <w:szCs w:val="20"/>
        </w:rPr>
        <w:t xml:space="preserve">Amended 10% bonds </w:t>
      </w:r>
    </w:p>
    <w:p w14:paraId="2B3FBB6B" w14:textId="77777777" w:rsidR="00E76ECD" w:rsidRPr="00873FD8" w:rsidRDefault="00E76ECD" w:rsidP="00E76ECD">
      <w:pPr>
        <w:jc w:val="both"/>
        <w:rPr>
          <w:b/>
          <w:bCs/>
          <w:sz w:val="20"/>
          <w:szCs w:val="20"/>
        </w:rPr>
      </w:pPr>
    </w:p>
    <w:p w14:paraId="4705C605" w14:textId="3F283326" w:rsidR="00E76ECD" w:rsidRPr="00873FD8" w:rsidRDefault="00E76ECD" w:rsidP="00E76ECD">
      <w:pPr>
        <w:ind w:left="720"/>
        <w:jc w:val="both"/>
        <w:rPr>
          <w:sz w:val="20"/>
          <w:szCs w:val="20"/>
        </w:rPr>
      </w:pPr>
      <w:r w:rsidRPr="00873FD8">
        <w:rPr>
          <w:sz w:val="20"/>
          <w:szCs w:val="20"/>
        </w:rPr>
        <w:t xml:space="preserve">On November 15, 2018, the Company amended the terms of 10% bonds (Note </w:t>
      </w:r>
      <w:r w:rsidR="00F70468" w:rsidRPr="00873FD8">
        <w:rPr>
          <w:sz w:val="20"/>
          <w:szCs w:val="20"/>
        </w:rPr>
        <w:t>1</w:t>
      </w:r>
      <w:r w:rsidR="00F70468">
        <w:rPr>
          <w:sz w:val="20"/>
          <w:szCs w:val="20"/>
        </w:rPr>
        <w:t>2</w:t>
      </w:r>
      <w:r w:rsidRPr="00873FD8">
        <w:rPr>
          <w:sz w:val="20"/>
          <w:szCs w:val="20"/>
        </w:rPr>
        <w:t xml:space="preserve">(a)) with a total principal value of $3.08 million and 8% bonds (Note </w:t>
      </w:r>
      <w:r w:rsidR="00F70468" w:rsidRPr="00873FD8">
        <w:rPr>
          <w:sz w:val="20"/>
          <w:szCs w:val="20"/>
        </w:rPr>
        <w:t>1</w:t>
      </w:r>
      <w:r w:rsidR="00F70468">
        <w:rPr>
          <w:sz w:val="20"/>
          <w:szCs w:val="20"/>
        </w:rPr>
        <w:t>2</w:t>
      </w:r>
      <w:r w:rsidRPr="00873FD8">
        <w:rPr>
          <w:sz w:val="20"/>
          <w:szCs w:val="20"/>
        </w:rPr>
        <w:t xml:space="preserve">(c)) with a total principal value of $415,000.  The maturity date of the bonds has been extended from November 30, </w:t>
      </w:r>
      <w:proofErr w:type="gramStart"/>
      <w:r w:rsidRPr="00873FD8">
        <w:rPr>
          <w:sz w:val="20"/>
          <w:szCs w:val="20"/>
        </w:rPr>
        <w:t>2018</w:t>
      </w:r>
      <w:proofErr w:type="gramEnd"/>
      <w:r w:rsidRPr="00873FD8">
        <w:rPr>
          <w:sz w:val="20"/>
          <w:szCs w:val="20"/>
        </w:rPr>
        <w:t xml:space="preserve"> to November 30, 2023, with principal repayments to be made in 16 equal instalments, payable on the 15th day of March, June, September and December of each year beginning on March 15, 2020.  Interest on the outstanding principal of the 10% bonds accrue at 10% simple interest per annum and is due on a quarterly basis, beginning on December 15, 2018. On November 15, 2018, the Company further amended the repayment of interest to commence on March 15, 2019. Interest on the outstanding principal of the 8% bonds is payable </w:t>
      </w:r>
      <w:proofErr w:type="gramStart"/>
      <w:r w:rsidRPr="00873FD8">
        <w:rPr>
          <w:sz w:val="20"/>
          <w:szCs w:val="20"/>
        </w:rPr>
        <w:t>on a monthly basis</w:t>
      </w:r>
      <w:proofErr w:type="gramEnd"/>
      <w:r w:rsidRPr="00873FD8">
        <w:rPr>
          <w:sz w:val="20"/>
          <w:szCs w:val="20"/>
        </w:rPr>
        <w:t>.</w:t>
      </w:r>
      <w:r w:rsidR="00975072" w:rsidRPr="00873FD8">
        <w:rPr>
          <w:sz w:val="20"/>
          <w:szCs w:val="20"/>
        </w:rPr>
        <w:t xml:space="preserve">  The Company has deferred the principal repayments until the Company is </w:t>
      </w:r>
      <w:proofErr w:type="gramStart"/>
      <w:r w:rsidR="00975072" w:rsidRPr="00873FD8">
        <w:rPr>
          <w:sz w:val="20"/>
          <w:szCs w:val="20"/>
        </w:rPr>
        <w:t>in a position</w:t>
      </w:r>
      <w:proofErr w:type="gramEnd"/>
      <w:r w:rsidR="00975072" w:rsidRPr="00873FD8">
        <w:rPr>
          <w:sz w:val="20"/>
          <w:szCs w:val="20"/>
        </w:rPr>
        <w:t xml:space="preserve"> to make the cash payments. </w:t>
      </w:r>
    </w:p>
    <w:p w14:paraId="438A98F7" w14:textId="77777777" w:rsidR="00E76ECD" w:rsidRPr="00873FD8" w:rsidRDefault="00E76ECD" w:rsidP="00E76ECD">
      <w:pPr>
        <w:ind w:left="720"/>
        <w:jc w:val="both"/>
        <w:rPr>
          <w:sz w:val="20"/>
          <w:szCs w:val="20"/>
        </w:rPr>
      </w:pPr>
    </w:p>
    <w:p w14:paraId="371B0BD4" w14:textId="77777777" w:rsidR="00E76ECD" w:rsidRPr="00873FD8" w:rsidRDefault="00E76ECD" w:rsidP="00E76ECD">
      <w:pPr>
        <w:ind w:left="720"/>
        <w:jc w:val="both"/>
        <w:rPr>
          <w:sz w:val="20"/>
          <w:szCs w:val="20"/>
        </w:rPr>
      </w:pPr>
      <w:r w:rsidRPr="00873FD8">
        <w:rPr>
          <w:sz w:val="20"/>
          <w:szCs w:val="20"/>
        </w:rPr>
        <w:t xml:space="preserve">The amendments of the bond terms became effective on March 21, </w:t>
      </w:r>
      <w:proofErr w:type="gramStart"/>
      <w:r w:rsidRPr="00873FD8">
        <w:rPr>
          <w:sz w:val="20"/>
          <w:szCs w:val="20"/>
        </w:rPr>
        <w:t>2019</w:t>
      </w:r>
      <w:proofErr w:type="gramEnd"/>
      <w:r w:rsidRPr="00873FD8">
        <w:rPr>
          <w:sz w:val="20"/>
          <w:szCs w:val="20"/>
        </w:rPr>
        <w:t xml:space="preserve"> when the initial public offering was completed and the Company became a reporting issuer.</w:t>
      </w:r>
    </w:p>
    <w:p w14:paraId="23A1A486" w14:textId="77777777" w:rsidR="00E76ECD" w:rsidRPr="00873FD8" w:rsidRDefault="00E76ECD" w:rsidP="00E76ECD">
      <w:pPr>
        <w:ind w:left="720"/>
        <w:jc w:val="both"/>
        <w:rPr>
          <w:sz w:val="20"/>
          <w:szCs w:val="20"/>
        </w:rPr>
      </w:pPr>
    </w:p>
    <w:p w14:paraId="0B3180B9" w14:textId="77777777" w:rsidR="00E76ECD" w:rsidRPr="00873FD8" w:rsidRDefault="00E76ECD" w:rsidP="00E76ECD">
      <w:pPr>
        <w:ind w:left="720"/>
        <w:jc w:val="both"/>
        <w:rPr>
          <w:sz w:val="20"/>
          <w:szCs w:val="20"/>
        </w:rPr>
      </w:pPr>
      <w:r w:rsidRPr="00873FD8">
        <w:rPr>
          <w:sz w:val="20"/>
          <w:szCs w:val="20"/>
        </w:rPr>
        <w:t>On June 26, 2018, the Company issued additional bonds with a principal amount of $250,000 with the same terms as the amended bonds.</w:t>
      </w:r>
    </w:p>
    <w:p w14:paraId="0523FD19" w14:textId="77777777" w:rsidR="00E76ECD" w:rsidRPr="00873FD8" w:rsidRDefault="00E76ECD" w:rsidP="00E76ECD">
      <w:pPr>
        <w:jc w:val="both"/>
        <w:rPr>
          <w:b/>
          <w:bCs/>
          <w:sz w:val="20"/>
          <w:szCs w:val="20"/>
        </w:rPr>
      </w:pPr>
    </w:p>
    <w:p w14:paraId="50B14AEC" w14:textId="77777777" w:rsidR="00E76ECD" w:rsidRPr="002369B5" w:rsidRDefault="00E76ECD" w:rsidP="00371BEA">
      <w:pPr>
        <w:pStyle w:val="ListParagraph"/>
        <w:numPr>
          <w:ilvl w:val="0"/>
          <w:numId w:val="33"/>
        </w:numPr>
        <w:ind w:left="284"/>
        <w:jc w:val="both"/>
        <w:rPr>
          <w:b/>
          <w:bCs/>
          <w:sz w:val="20"/>
          <w:szCs w:val="20"/>
        </w:rPr>
      </w:pPr>
      <w:r w:rsidRPr="002369B5">
        <w:rPr>
          <w:b/>
          <w:bCs/>
          <w:sz w:val="20"/>
          <w:szCs w:val="20"/>
        </w:rPr>
        <w:t>LEASE LIABILITIES</w:t>
      </w:r>
    </w:p>
    <w:p w14:paraId="3C942B55" w14:textId="77777777" w:rsidR="00E76ECD" w:rsidRPr="002369B5" w:rsidRDefault="00E76ECD" w:rsidP="00E76ECD">
      <w:pPr>
        <w:jc w:val="both"/>
        <w:rPr>
          <w:b/>
          <w:bCs/>
          <w:sz w:val="20"/>
          <w:szCs w:val="20"/>
        </w:rPr>
      </w:pPr>
    </w:p>
    <w:p w14:paraId="4B313E99" w14:textId="77777777" w:rsidR="002369B5" w:rsidRPr="002369B5" w:rsidRDefault="00E76ECD" w:rsidP="00E76ECD">
      <w:pPr>
        <w:ind w:left="284"/>
        <w:jc w:val="both"/>
        <w:rPr>
          <w:sz w:val="20"/>
          <w:szCs w:val="20"/>
        </w:rPr>
      </w:pPr>
      <w:r w:rsidRPr="002369B5">
        <w:rPr>
          <w:sz w:val="20"/>
          <w:szCs w:val="20"/>
        </w:rPr>
        <w:t xml:space="preserve">During the year ended December 31, 2019, the Company </w:t>
      </w:r>
      <w:proofErr w:type="gramStart"/>
      <w:r w:rsidRPr="002369B5">
        <w:rPr>
          <w:sz w:val="20"/>
          <w:szCs w:val="20"/>
        </w:rPr>
        <w:t>entered into</w:t>
      </w:r>
      <w:proofErr w:type="gramEnd"/>
      <w:r w:rsidRPr="002369B5">
        <w:rPr>
          <w:sz w:val="20"/>
          <w:szCs w:val="20"/>
        </w:rPr>
        <w:t xml:space="preserve"> a new head office lease and acquired a lease through the acquisition of Score-Up.  </w:t>
      </w:r>
    </w:p>
    <w:p w14:paraId="6F4F204C" w14:textId="77777777" w:rsidR="002369B5" w:rsidRPr="002369B5" w:rsidRDefault="002369B5" w:rsidP="00E76ECD">
      <w:pPr>
        <w:ind w:left="284"/>
        <w:jc w:val="both"/>
        <w:rPr>
          <w:sz w:val="20"/>
          <w:szCs w:val="20"/>
        </w:rPr>
      </w:pPr>
    </w:p>
    <w:p w14:paraId="3FDC26EF" w14:textId="4D588047" w:rsidR="002369B5" w:rsidRDefault="002369B5" w:rsidP="00E76ECD">
      <w:pPr>
        <w:ind w:left="284"/>
        <w:jc w:val="both"/>
        <w:rPr>
          <w:sz w:val="20"/>
          <w:szCs w:val="20"/>
        </w:rPr>
      </w:pPr>
      <w:r w:rsidRPr="002369B5">
        <w:rPr>
          <w:sz w:val="20"/>
          <w:szCs w:val="20"/>
        </w:rPr>
        <w:t xml:space="preserve">On January 21, 2021, the Company entered into a sublease agreement of its head office, commencing May 1, </w:t>
      </w:r>
      <w:proofErr w:type="gramStart"/>
      <w:r w:rsidRPr="002369B5">
        <w:rPr>
          <w:sz w:val="20"/>
          <w:szCs w:val="20"/>
        </w:rPr>
        <w:t>2021</w:t>
      </w:r>
      <w:proofErr w:type="gramEnd"/>
      <w:r w:rsidRPr="002369B5">
        <w:rPr>
          <w:sz w:val="20"/>
          <w:szCs w:val="20"/>
        </w:rPr>
        <w:t xml:space="preserve"> and expiring August 30, 2022. The sublease is </w:t>
      </w:r>
      <w:proofErr w:type="gramStart"/>
      <w:r w:rsidRPr="002369B5">
        <w:rPr>
          <w:sz w:val="20"/>
          <w:szCs w:val="20"/>
        </w:rPr>
        <w:t>for the amount of</w:t>
      </w:r>
      <w:proofErr w:type="gramEnd"/>
      <w:r w:rsidRPr="002369B5">
        <w:rPr>
          <w:sz w:val="20"/>
          <w:szCs w:val="20"/>
        </w:rPr>
        <w:t xml:space="preserve"> $162,914 per annum and will reduce the Company’s minimum lease payments by $108,609 over the sublease term. During the period ended June 30, 2021, the Company recorded a loss of $12,096 on recognition of the sublease and derecognized the corresponding right-of-use asset.</w:t>
      </w:r>
    </w:p>
    <w:p w14:paraId="573DEFC5" w14:textId="77777777" w:rsidR="00F70468" w:rsidRDefault="00F70468" w:rsidP="00E76ECD">
      <w:pPr>
        <w:ind w:left="284"/>
        <w:jc w:val="both"/>
        <w:rPr>
          <w:sz w:val="20"/>
          <w:szCs w:val="20"/>
        </w:rPr>
      </w:pPr>
    </w:p>
    <w:p w14:paraId="7508B4E4" w14:textId="77777777" w:rsidR="00F70468" w:rsidRPr="002B6A4F" w:rsidRDefault="00F70468" w:rsidP="00F70468">
      <w:pPr>
        <w:ind w:left="284"/>
        <w:jc w:val="both"/>
        <w:rPr>
          <w:sz w:val="20"/>
          <w:szCs w:val="20"/>
        </w:rPr>
      </w:pPr>
      <w:r w:rsidRPr="002B6A4F">
        <w:rPr>
          <w:sz w:val="20"/>
          <w:szCs w:val="20"/>
        </w:rPr>
        <w:t xml:space="preserve">The following summarizes the remaining undiscounted minimum lease payments under the lease liabilities as </w:t>
      </w:r>
      <w:proofErr w:type="gramStart"/>
      <w:r w:rsidRPr="002B6A4F">
        <w:rPr>
          <w:sz w:val="20"/>
          <w:szCs w:val="20"/>
        </w:rPr>
        <w:t>at</w:t>
      </w:r>
      <w:proofErr w:type="gramEnd"/>
      <w:r w:rsidRPr="002B6A4F">
        <w:rPr>
          <w:sz w:val="20"/>
          <w:szCs w:val="20"/>
        </w:rPr>
        <w:t xml:space="preserve"> June 30, 2021:</w:t>
      </w:r>
    </w:p>
    <w:p w14:paraId="6A1083CA" w14:textId="77777777" w:rsidR="00F70468" w:rsidRPr="002B6A4F" w:rsidRDefault="00F70468" w:rsidP="00F70468">
      <w:pPr>
        <w:ind w:left="284"/>
        <w:jc w:val="both"/>
        <w:rPr>
          <w:sz w:val="20"/>
          <w:szCs w:val="20"/>
        </w:rPr>
      </w:pPr>
    </w:p>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43"/>
      </w:tblGrid>
      <w:tr w:rsidR="00F70468" w:rsidRPr="002B6A4F" w14:paraId="1B65B23C" w14:textId="77777777" w:rsidTr="002064A4">
        <w:tc>
          <w:tcPr>
            <w:tcW w:w="7371" w:type="dxa"/>
            <w:tcBorders>
              <w:top w:val="double" w:sz="4" w:space="0" w:color="auto"/>
              <w:bottom w:val="single" w:sz="4" w:space="0" w:color="auto"/>
            </w:tcBorders>
            <w:shd w:val="clear" w:color="auto" w:fill="auto"/>
          </w:tcPr>
          <w:p w14:paraId="169CCB0E" w14:textId="77777777" w:rsidR="00F70468" w:rsidRPr="002B6A4F" w:rsidRDefault="00F70468" w:rsidP="002064A4">
            <w:pPr>
              <w:jc w:val="both"/>
              <w:rPr>
                <w:b/>
                <w:bCs/>
                <w:sz w:val="20"/>
                <w:szCs w:val="20"/>
              </w:rPr>
            </w:pPr>
            <w:r w:rsidRPr="002B6A4F">
              <w:rPr>
                <w:b/>
                <w:bCs/>
                <w:sz w:val="20"/>
                <w:szCs w:val="20"/>
              </w:rPr>
              <w:t>Fiscal year</w:t>
            </w:r>
          </w:p>
        </w:tc>
        <w:tc>
          <w:tcPr>
            <w:tcW w:w="1843" w:type="dxa"/>
            <w:tcBorders>
              <w:top w:val="double" w:sz="4" w:space="0" w:color="auto"/>
              <w:bottom w:val="single" w:sz="4" w:space="0" w:color="auto"/>
            </w:tcBorders>
            <w:shd w:val="clear" w:color="auto" w:fill="auto"/>
          </w:tcPr>
          <w:p w14:paraId="1826966E" w14:textId="77777777" w:rsidR="00F70468" w:rsidRPr="002B6A4F" w:rsidRDefault="00F70468" w:rsidP="002064A4">
            <w:pPr>
              <w:tabs>
                <w:tab w:val="decimal" w:pos="1444"/>
              </w:tabs>
              <w:ind w:left="-257" w:firstLine="142"/>
              <w:rPr>
                <w:b/>
                <w:bCs/>
                <w:sz w:val="20"/>
                <w:szCs w:val="20"/>
              </w:rPr>
            </w:pPr>
            <w:r w:rsidRPr="002B6A4F">
              <w:rPr>
                <w:b/>
                <w:bCs/>
                <w:sz w:val="20"/>
                <w:szCs w:val="20"/>
              </w:rPr>
              <w:t>Payment</w:t>
            </w:r>
          </w:p>
        </w:tc>
      </w:tr>
      <w:tr w:rsidR="00F70468" w:rsidRPr="002B6A4F" w14:paraId="160C0239" w14:textId="77777777" w:rsidTr="00760411">
        <w:tc>
          <w:tcPr>
            <w:tcW w:w="7371" w:type="dxa"/>
            <w:tcBorders>
              <w:top w:val="single" w:sz="4" w:space="0" w:color="auto"/>
            </w:tcBorders>
            <w:shd w:val="clear" w:color="auto" w:fill="auto"/>
          </w:tcPr>
          <w:p w14:paraId="7554CEC0" w14:textId="77777777" w:rsidR="00F70468" w:rsidRPr="002B6A4F" w:rsidRDefault="00F70468" w:rsidP="002064A4">
            <w:pPr>
              <w:jc w:val="both"/>
              <w:rPr>
                <w:sz w:val="20"/>
                <w:szCs w:val="20"/>
              </w:rPr>
            </w:pPr>
            <w:r w:rsidRPr="002B6A4F">
              <w:rPr>
                <w:sz w:val="20"/>
                <w:szCs w:val="20"/>
              </w:rPr>
              <w:t>2021</w:t>
            </w:r>
          </w:p>
        </w:tc>
        <w:tc>
          <w:tcPr>
            <w:tcW w:w="1843" w:type="dxa"/>
            <w:tcBorders>
              <w:top w:val="single" w:sz="4" w:space="0" w:color="auto"/>
            </w:tcBorders>
            <w:shd w:val="clear" w:color="auto" w:fill="auto"/>
            <w:vAlign w:val="center"/>
          </w:tcPr>
          <w:p w14:paraId="518C7FB4" w14:textId="77777777" w:rsidR="00F70468" w:rsidRPr="002B6A4F" w:rsidRDefault="00F70468" w:rsidP="002064A4">
            <w:pPr>
              <w:tabs>
                <w:tab w:val="decimal" w:pos="1418"/>
              </w:tabs>
              <w:rPr>
                <w:sz w:val="20"/>
                <w:szCs w:val="20"/>
              </w:rPr>
            </w:pPr>
            <w:r w:rsidRPr="002B6A4F">
              <w:rPr>
                <w:color w:val="000000"/>
                <w:sz w:val="20"/>
                <w:szCs w:val="20"/>
              </w:rPr>
              <w:t xml:space="preserve">94,815 </w:t>
            </w:r>
          </w:p>
        </w:tc>
      </w:tr>
      <w:tr w:rsidR="00F70468" w:rsidRPr="002B6A4F" w14:paraId="631A4331" w14:textId="77777777" w:rsidTr="002064A4">
        <w:tc>
          <w:tcPr>
            <w:tcW w:w="7371" w:type="dxa"/>
            <w:shd w:val="clear" w:color="auto" w:fill="auto"/>
          </w:tcPr>
          <w:p w14:paraId="65BDF269" w14:textId="77777777" w:rsidR="00F70468" w:rsidRPr="002B6A4F" w:rsidRDefault="00F70468" w:rsidP="002064A4">
            <w:pPr>
              <w:jc w:val="both"/>
              <w:rPr>
                <w:sz w:val="20"/>
                <w:szCs w:val="20"/>
              </w:rPr>
            </w:pPr>
            <w:r w:rsidRPr="002B6A4F">
              <w:rPr>
                <w:sz w:val="20"/>
                <w:szCs w:val="20"/>
              </w:rPr>
              <w:t>2022</w:t>
            </w:r>
          </w:p>
        </w:tc>
        <w:tc>
          <w:tcPr>
            <w:tcW w:w="1843" w:type="dxa"/>
            <w:shd w:val="clear" w:color="auto" w:fill="auto"/>
            <w:vAlign w:val="center"/>
          </w:tcPr>
          <w:p w14:paraId="43099EB4" w14:textId="77777777" w:rsidR="00F70468" w:rsidRPr="002B6A4F" w:rsidRDefault="00F70468" w:rsidP="002064A4">
            <w:pPr>
              <w:tabs>
                <w:tab w:val="decimal" w:pos="1418"/>
              </w:tabs>
              <w:rPr>
                <w:sz w:val="20"/>
                <w:szCs w:val="20"/>
              </w:rPr>
            </w:pPr>
            <w:r w:rsidRPr="002B6A4F">
              <w:rPr>
                <w:color w:val="000000"/>
                <w:sz w:val="20"/>
                <w:szCs w:val="20"/>
              </w:rPr>
              <w:t xml:space="preserve">126,419 </w:t>
            </w:r>
          </w:p>
        </w:tc>
      </w:tr>
      <w:tr w:rsidR="00F70468" w:rsidRPr="002B6A4F" w14:paraId="68AD1CB8" w14:textId="77777777" w:rsidTr="002064A4">
        <w:tc>
          <w:tcPr>
            <w:tcW w:w="7371" w:type="dxa"/>
            <w:tcBorders>
              <w:bottom w:val="single" w:sz="4" w:space="0" w:color="auto"/>
            </w:tcBorders>
            <w:shd w:val="clear" w:color="auto" w:fill="auto"/>
          </w:tcPr>
          <w:p w14:paraId="0190ACE9" w14:textId="77777777" w:rsidR="00F70468" w:rsidRPr="002B6A4F" w:rsidRDefault="00F70468" w:rsidP="002064A4">
            <w:pPr>
              <w:jc w:val="both"/>
              <w:rPr>
                <w:sz w:val="20"/>
                <w:szCs w:val="20"/>
              </w:rPr>
            </w:pPr>
            <w:r w:rsidRPr="002B6A4F">
              <w:rPr>
                <w:sz w:val="20"/>
                <w:szCs w:val="20"/>
              </w:rPr>
              <w:t>Amount representing future lease accretion</w:t>
            </w:r>
          </w:p>
        </w:tc>
        <w:tc>
          <w:tcPr>
            <w:tcW w:w="1843" w:type="dxa"/>
            <w:tcBorders>
              <w:bottom w:val="single" w:sz="4" w:space="0" w:color="auto"/>
            </w:tcBorders>
            <w:shd w:val="clear" w:color="auto" w:fill="auto"/>
            <w:vAlign w:val="center"/>
          </w:tcPr>
          <w:p w14:paraId="26460EA8" w14:textId="77777777" w:rsidR="00F70468" w:rsidRPr="002B6A4F" w:rsidRDefault="00F70468" w:rsidP="002064A4">
            <w:pPr>
              <w:tabs>
                <w:tab w:val="decimal" w:pos="1418"/>
              </w:tabs>
              <w:rPr>
                <w:sz w:val="20"/>
                <w:szCs w:val="20"/>
              </w:rPr>
            </w:pPr>
            <w:r w:rsidRPr="002B6A4F">
              <w:rPr>
                <w:color w:val="000000"/>
                <w:sz w:val="20"/>
                <w:szCs w:val="20"/>
              </w:rPr>
              <w:t>(11,500)</w:t>
            </w:r>
          </w:p>
        </w:tc>
      </w:tr>
      <w:tr w:rsidR="00F70468" w:rsidRPr="002B6A4F" w14:paraId="788871D4" w14:textId="77777777" w:rsidTr="002064A4">
        <w:tc>
          <w:tcPr>
            <w:tcW w:w="7371" w:type="dxa"/>
            <w:tcBorders>
              <w:top w:val="single" w:sz="4" w:space="0" w:color="auto"/>
            </w:tcBorders>
            <w:shd w:val="clear" w:color="auto" w:fill="auto"/>
          </w:tcPr>
          <w:p w14:paraId="5433B471" w14:textId="77777777" w:rsidR="00F70468" w:rsidRPr="002B6A4F" w:rsidRDefault="00F70468" w:rsidP="002064A4">
            <w:pPr>
              <w:jc w:val="both"/>
              <w:rPr>
                <w:sz w:val="20"/>
                <w:szCs w:val="20"/>
              </w:rPr>
            </w:pPr>
            <w:r w:rsidRPr="002B6A4F">
              <w:rPr>
                <w:sz w:val="20"/>
                <w:szCs w:val="20"/>
              </w:rPr>
              <w:t>Total lease liability</w:t>
            </w:r>
          </w:p>
        </w:tc>
        <w:tc>
          <w:tcPr>
            <w:tcW w:w="1843" w:type="dxa"/>
            <w:tcBorders>
              <w:top w:val="single" w:sz="4" w:space="0" w:color="auto"/>
            </w:tcBorders>
            <w:shd w:val="clear" w:color="auto" w:fill="auto"/>
            <w:vAlign w:val="center"/>
          </w:tcPr>
          <w:p w14:paraId="5E9E434B" w14:textId="77777777" w:rsidR="00F70468" w:rsidRPr="002B6A4F" w:rsidRDefault="00F70468" w:rsidP="002064A4">
            <w:pPr>
              <w:tabs>
                <w:tab w:val="decimal" w:pos="1418"/>
              </w:tabs>
              <w:rPr>
                <w:sz w:val="20"/>
                <w:szCs w:val="20"/>
              </w:rPr>
            </w:pPr>
            <w:r w:rsidRPr="002B6A4F">
              <w:rPr>
                <w:color w:val="000000"/>
                <w:sz w:val="20"/>
                <w:szCs w:val="20"/>
              </w:rPr>
              <w:t xml:space="preserve">209,734 </w:t>
            </w:r>
          </w:p>
        </w:tc>
      </w:tr>
      <w:tr w:rsidR="00F70468" w:rsidRPr="002B6A4F" w14:paraId="2FE23C2B" w14:textId="77777777" w:rsidTr="002064A4">
        <w:tc>
          <w:tcPr>
            <w:tcW w:w="7371" w:type="dxa"/>
            <w:shd w:val="clear" w:color="auto" w:fill="auto"/>
          </w:tcPr>
          <w:p w14:paraId="2583CD33" w14:textId="77777777" w:rsidR="00F70468" w:rsidRPr="002B6A4F" w:rsidRDefault="00F70468" w:rsidP="002064A4">
            <w:pPr>
              <w:jc w:val="both"/>
              <w:rPr>
                <w:sz w:val="20"/>
                <w:szCs w:val="20"/>
              </w:rPr>
            </w:pPr>
            <w:r w:rsidRPr="002B6A4F">
              <w:rPr>
                <w:sz w:val="20"/>
                <w:szCs w:val="20"/>
              </w:rPr>
              <w:t>Lease liabilities, current portion</w:t>
            </w:r>
          </w:p>
        </w:tc>
        <w:tc>
          <w:tcPr>
            <w:tcW w:w="1843" w:type="dxa"/>
            <w:shd w:val="clear" w:color="auto" w:fill="auto"/>
            <w:vAlign w:val="center"/>
          </w:tcPr>
          <w:p w14:paraId="4C63E8AE" w14:textId="77777777" w:rsidR="00F70468" w:rsidRPr="002B6A4F" w:rsidRDefault="00F70468" w:rsidP="002064A4">
            <w:pPr>
              <w:tabs>
                <w:tab w:val="decimal" w:pos="1418"/>
              </w:tabs>
              <w:rPr>
                <w:sz w:val="20"/>
                <w:szCs w:val="20"/>
              </w:rPr>
            </w:pPr>
            <w:r w:rsidRPr="002B6A4F">
              <w:rPr>
                <w:color w:val="000000"/>
                <w:sz w:val="20"/>
                <w:szCs w:val="20"/>
              </w:rPr>
              <w:t>(178,260)</w:t>
            </w:r>
          </w:p>
        </w:tc>
      </w:tr>
      <w:tr w:rsidR="00F70468" w:rsidRPr="002B6A4F" w14:paraId="0E13301F" w14:textId="77777777" w:rsidTr="002064A4">
        <w:tc>
          <w:tcPr>
            <w:tcW w:w="7371" w:type="dxa"/>
            <w:tcBorders>
              <w:top w:val="single" w:sz="4" w:space="0" w:color="auto"/>
            </w:tcBorders>
            <w:shd w:val="clear" w:color="auto" w:fill="auto"/>
          </w:tcPr>
          <w:p w14:paraId="152B191D" w14:textId="77777777" w:rsidR="00F70468" w:rsidRPr="002B6A4F" w:rsidRDefault="00F70468" w:rsidP="002064A4">
            <w:pPr>
              <w:ind w:left="181"/>
              <w:jc w:val="both"/>
              <w:rPr>
                <w:sz w:val="20"/>
                <w:szCs w:val="20"/>
              </w:rPr>
            </w:pPr>
          </w:p>
        </w:tc>
        <w:tc>
          <w:tcPr>
            <w:tcW w:w="1843" w:type="dxa"/>
            <w:tcBorders>
              <w:top w:val="single" w:sz="4" w:space="0" w:color="auto"/>
            </w:tcBorders>
            <w:shd w:val="clear" w:color="auto" w:fill="auto"/>
          </w:tcPr>
          <w:p w14:paraId="316F18B2" w14:textId="77777777" w:rsidR="00F70468" w:rsidRPr="002B6A4F" w:rsidRDefault="00F70468" w:rsidP="002064A4">
            <w:pPr>
              <w:tabs>
                <w:tab w:val="decimal" w:pos="1418"/>
              </w:tabs>
              <w:rPr>
                <w:sz w:val="20"/>
                <w:szCs w:val="20"/>
              </w:rPr>
            </w:pPr>
          </w:p>
        </w:tc>
      </w:tr>
      <w:tr w:rsidR="00F70468" w:rsidRPr="002B6A4F" w14:paraId="3C791530" w14:textId="77777777" w:rsidTr="002064A4">
        <w:tc>
          <w:tcPr>
            <w:tcW w:w="7371" w:type="dxa"/>
            <w:tcBorders>
              <w:bottom w:val="double" w:sz="4" w:space="0" w:color="auto"/>
            </w:tcBorders>
            <w:shd w:val="clear" w:color="auto" w:fill="auto"/>
          </w:tcPr>
          <w:p w14:paraId="1129C55E" w14:textId="77777777" w:rsidR="00F70468" w:rsidRPr="002B6A4F" w:rsidRDefault="00F70468" w:rsidP="002064A4">
            <w:pPr>
              <w:jc w:val="both"/>
              <w:rPr>
                <w:sz w:val="20"/>
                <w:szCs w:val="20"/>
                <w:lang w:val="fr-FR"/>
              </w:rPr>
            </w:pPr>
            <w:proofErr w:type="spellStart"/>
            <w:r w:rsidRPr="002B6A4F">
              <w:rPr>
                <w:sz w:val="20"/>
                <w:szCs w:val="20"/>
                <w:lang w:val="fr-FR"/>
              </w:rPr>
              <w:t>Lease</w:t>
            </w:r>
            <w:proofErr w:type="spellEnd"/>
            <w:r w:rsidRPr="002B6A4F">
              <w:rPr>
                <w:sz w:val="20"/>
                <w:szCs w:val="20"/>
                <w:lang w:val="fr-FR"/>
              </w:rPr>
              <w:t xml:space="preserve"> </w:t>
            </w:r>
            <w:proofErr w:type="spellStart"/>
            <w:r w:rsidRPr="002B6A4F">
              <w:rPr>
                <w:sz w:val="20"/>
                <w:szCs w:val="20"/>
                <w:lang w:val="fr-FR"/>
              </w:rPr>
              <w:t>liabilities</w:t>
            </w:r>
            <w:proofErr w:type="spellEnd"/>
            <w:r w:rsidRPr="002B6A4F">
              <w:rPr>
                <w:sz w:val="20"/>
                <w:szCs w:val="20"/>
                <w:lang w:val="fr-FR"/>
              </w:rPr>
              <w:t>, non-</w:t>
            </w:r>
            <w:proofErr w:type="spellStart"/>
            <w:r w:rsidRPr="002B6A4F">
              <w:rPr>
                <w:sz w:val="20"/>
                <w:szCs w:val="20"/>
                <w:lang w:val="fr-FR"/>
              </w:rPr>
              <w:t>current</w:t>
            </w:r>
            <w:proofErr w:type="spellEnd"/>
            <w:r w:rsidRPr="002B6A4F">
              <w:rPr>
                <w:sz w:val="20"/>
                <w:szCs w:val="20"/>
                <w:lang w:val="fr-FR"/>
              </w:rPr>
              <w:t xml:space="preserve"> portion</w:t>
            </w:r>
          </w:p>
        </w:tc>
        <w:tc>
          <w:tcPr>
            <w:tcW w:w="1843" w:type="dxa"/>
            <w:tcBorders>
              <w:bottom w:val="double" w:sz="4" w:space="0" w:color="auto"/>
            </w:tcBorders>
            <w:shd w:val="clear" w:color="auto" w:fill="auto"/>
          </w:tcPr>
          <w:p w14:paraId="0A857228" w14:textId="77777777" w:rsidR="00F70468" w:rsidRPr="002B6A4F" w:rsidRDefault="00F70468" w:rsidP="002064A4">
            <w:pPr>
              <w:tabs>
                <w:tab w:val="left" w:pos="0"/>
                <w:tab w:val="decimal" w:pos="1418"/>
              </w:tabs>
              <w:rPr>
                <w:sz w:val="20"/>
                <w:szCs w:val="20"/>
              </w:rPr>
            </w:pPr>
            <w:r w:rsidRPr="002B6A4F">
              <w:rPr>
                <w:sz w:val="20"/>
                <w:szCs w:val="20"/>
              </w:rPr>
              <w:t>$</w:t>
            </w:r>
            <w:r w:rsidRPr="002B6A4F">
              <w:rPr>
                <w:sz w:val="20"/>
                <w:szCs w:val="20"/>
              </w:rPr>
              <w:tab/>
              <w:t>31,474</w:t>
            </w:r>
          </w:p>
        </w:tc>
      </w:tr>
    </w:tbl>
    <w:p w14:paraId="7B1AEE2D" w14:textId="77777777" w:rsidR="002369B5" w:rsidRPr="002369B5" w:rsidRDefault="002369B5" w:rsidP="00E76ECD">
      <w:pPr>
        <w:ind w:left="284"/>
        <w:jc w:val="both"/>
        <w:rPr>
          <w:sz w:val="20"/>
          <w:szCs w:val="20"/>
        </w:rPr>
      </w:pPr>
    </w:p>
    <w:p w14:paraId="3DA781BA" w14:textId="77777777" w:rsidR="002369B5" w:rsidRPr="002B6A4F" w:rsidRDefault="002369B5" w:rsidP="002369B5">
      <w:pPr>
        <w:pStyle w:val="ListParagraph"/>
        <w:numPr>
          <w:ilvl w:val="0"/>
          <w:numId w:val="31"/>
        </w:numPr>
        <w:ind w:left="284"/>
        <w:jc w:val="both"/>
        <w:rPr>
          <w:b/>
          <w:bCs/>
          <w:sz w:val="20"/>
          <w:szCs w:val="20"/>
        </w:rPr>
      </w:pPr>
      <w:r w:rsidRPr="002B6A4F">
        <w:rPr>
          <w:b/>
          <w:bCs/>
          <w:sz w:val="20"/>
          <w:szCs w:val="20"/>
        </w:rPr>
        <w:t>LEASE LIABILITIES</w:t>
      </w:r>
      <w:r w:rsidRPr="002B6A4F">
        <w:rPr>
          <w:sz w:val="20"/>
          <w:szCs w:val="20"/>
        </w:rPr>
        <w:t xml:space="preserve"> </w:t>
      </w:r>
      <w:r w:rsidRPr="002B6A4F">
        <w:rPr>
          <w:i/>
          <w:iCs/>
          <w:sz w:val="20"/>
          <w:szCs w:val="20"/>
        </w:rPr>
        <w:t>(cont’d…)</w:t>
      </w:r>
    </w:p>
    <w:p w14:paraId="38E41B5B" w14:textId="77777777" w:rsidR="002369B5" w:rsidRPr="002B6A4F" w:rsidRDefault="002369B5" w:rsidP="00E76ECD">
      <w:pPr>
        <w:ind w:left="284"/>
        <w:jc w:val="both"/>
        <w:rPr>
          <w:sz w:val="20"/>
          <w:szCs w:val="20"/>
        </w:rPr>
      </w:pPr>
    </w:p>
    <w:p w14:paraId="02582486" w14:textId="77777777" w:rsidR="006975EC" w:rsidRPr="002B6A4F" w:rsidRDefault="006975EC" w:rsidP="006975EC">
      <w:pPr>
        <w:ind w:left="284"/>
        <w:jc w:val="both"/>
        <w:rPr>
          <w:sz w:val="20"/>
          <w:szCs w:val="20"/>
        </w:rPr>
      </w:pPr>
      <w:r w:rsidRPr="002B6A4F">
        <w:rPr>
          <w:sz w:val="20"/>
          <w:szCs w:val="20"/>
        </w:rPr>
        <w:t>The following is a reconciliation of the changes in the lease liabilities:</w:t>
      </w:r>
    </w:p>
    <w:p w14:paraId="0A7DD38B" w14:textId="77777777" w:rsidR="006975EC" w:rsidRPr="002B6A4F" w:rsidRDefault="006975EC" w:rsidP="006975EC">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702"/>
        <w:gridCol w:w="1704"/>
      </w:tblGrid>
      <w:tr w:rsidR="006975EC" w:rsidRPr="002B6A4F" w14:paraId="73550A9C" w14:textId="77777777" w:rsidTr="0087546C">
        <w:tc>
          <w:tcPr>
            <w:tcW w:w="5670" w:type="dxa"/>
            <w:tcBorders>
              <w:top w:val="double" w:sz="4" w:space="0" w:color="auto"/>
              <w:bottom w:val="single" w:sz="4" w:space="0" w:color="auto"/>
            </w:tcBorders>
            <w:shd w:val="clear" w:color="auto" w:fill="auto"/>
          </w:tcPr>
          <w:p w14:paraId="18292B15" w14:textId="77777777" w:rsidR="006975EC" w:rsidRPr="002B6A4F" w:rsidRDefault="006975EC" w:rsidP="0087546C">
            <w:pPr>
              <w:jc w:val="both"/>
              <w:rPr>
                <w:b/>
                <w:bCs/>
                <w:sz w:val="20"/>
                <w:szCs w:val="20"/>
              </w:rPr>
            </w:pPr>
          </w:p>
        </w:tc>
        <w:tc>
          <w:tcPr>
            <w:tcW w:w="1702" w:type="dxa"/>
            <w:tcBorders>
              <w:top w:val="double" w:sz="4" w:space="0" w:color="auto"/>
              <w:bottom w:val="single" w:sz="4" w:space="0" w:color="auto"/>
            </w:tcBorders>
            <w:shd w:val="clear" w:color="auto" w:fill="auto"/>
          </w:tcPr>
          <w:p w14:paraId="7E6675D8" w14:textId="665D4326" w:rsidR="006975EC" w:rsidRPr="002B6A4F" w:rsidRDefault="00C117D6" w:rsidP="0087546C">
            <w:pPr>
              <w:tabs>
                <w:tab w:val="decimal" w:pos="1418"/>
              </w:tabs>
              <w:rPr>
                <w:b/>
                <w:bCs/>
                <w:sz w:val="20"/>
                <w:szCs w:val="20"/>
              </w:rPr>
            </w:pPr>
            <w:r w:rsidRPr="002B6A4F">
              <w:rPr>
                <w:b/>
                <w:bCs/>
                <w:sz w:val="20"/>
                <w:szCs w:val="20"/>
              </w:rPr>
              <w:t>June 30</w:t>
            </w:r>
            <w:r w:rsidR="006975EC" w:rsidRPr="002B6A4F">
              <w:rPr>
                <w:b/>
                <w:bCs/>
                <w:sz w:val="20"/>
                <w:szCs w:val="20"/>
              </w:rPr>
              <w:t xml:space="preserve">, </w:t>
            </w:r>
          </w:p>
          <w:p w14:paraId="3BC3DD63" w14:textId="77777777" w:rsidR="006975EC" w:rsidRPr="002B6A4F" w:rsidRDefault="006975EC" w:rsidP="0087546C">
            <w:pPr>
              <w:tabs>
                <w:tab w:val="decimal" w:pos="1418"/>
              </w:tabs>
              <w:rPr>
                <w:b/>
                <w:bCs/>
                <w:sz w:val="20"/>
                <w:szCs w:val="20"/>
              </w:rPr>
            </w:pPr>
            <w:r w:rsidRPr="002B6A4F">
              <w:rPr>
                <w:b/>
                <w:bCs/>
                <w:sz w:val="20"/>
                <w:szCs w:val="20"/>
              </w:rPr>
              <w:t>2021</w:t>
            </w:r>
          </w:p>
        </w:tc>
        <w:tc>
          <w:tcPr>
            <w:tcW w:w="1704" w:type="dxa"/>
            <w:tcBorders>
              <w:top w:val="double" w:sz="4" w:space="0" w:color="auto"/>
              <w:bottom w:val="single" w:sz="4" w:space="0" w:color="auto"/>
            </w:tcBorders>
          </w:tcPr>
          <w:p w14:paraId="6410EF36" w14:textId="77777777" w:rsidR="006975EC" w:rsidRPr="002B6A4F" w:rsidRDefault="006975EC" w:rsidP="0087546C">
            <w:pPr>
              <w:tabs>
                <w:tab w:val="decimal" w:pos="1418"/>
              </w:tabs>
              <w:rPr>
                <w:b/>
                <w:bCs/>
                <w:sz w:val="20"/>
                <w:szCs w:val="20"/>
              </w:rPr>
            </w:pPr>
            <w:r w:rsidRPr="002B6A4F">
              <w:rPr>
                <w:b/>
                <w:bCs/>
                <w:sz w:val="20"/>
                <w:szCs w:val="20"/>
              </w:rPr>
              <w:t xml:space="preserve">December 31, </w:t>
            </w:r>
          </w:p>
          <w:p w14:paraId="78B5D90F" w14:textId="77777777" w:rsidR="006975EC" w:rsidRPr="002B6A4F" w:rsidRDefault="006975EC" w:rsidP="0087546C">
            <w:pPr>
              <w:tabs>
                <w:tab w:val="decimal" w:pos="1418"/>
              </w:tabs>
              <w:rPr>
                <w:b/>
                <w:bCs/>
                <w:sz w:val="20"/>
                <w:szCs w:val="20"/>
              </w:rPr>
            </w:pPr>
            <w:r w:rsidRPr="002B6A4F">
              <w:rPr>
                <w:b/>
                <w:bCs/>
                <w:sz w:val="20"/>
                <w:szCs w:val="20"/>
              </w:rPr>
              <w:t>2020</w:t>
            </w:r>
          </w:p>
        </w:tc>
      </w:tr>
      <w:tr w:rsidR="006975EC" w:rsidRPr="002B6A4F" w14:paraId="0DDB5AB0" w14:textId="77777777" w:rsidTr="0087546C">
        <w:tc>
          <w:tcPr>
            <w:tcW w:w="5670" w:type="dxa"/>
            <w:tcBorders>
              <w:top w:val="single" w:sz="4" w:space="0" w:color="auto"/>
            </w:tcBorders>
            <w:shd w:val="clear" w:color="auto" w:fill="auto"/>
          </w:tcPr>
          <w:p w14:paraId="2084EDBF" w14:textId="77777777" w:rsidR="006975EC" w:rsidRPr="002B6A4F" w:rsidRDefault="006975EC" w:rsidP="0087546C">
            <w:pPr>
              <w:ind w:left="181"/>
              <w:jc w:val="both"/>
              <w:rPr>
                <w:sz w:val="20"/>
                <w:szCs w:val="20"/>
              </w:rPr>
            </w:pPr>
          </w:p>
        </w:tc>
        <w:tc>
          <w:tcPr>
            <w:tcW w:w="1702" w:type="dxa"/>
            <w:tcBorders>
              <w:top w:val="single" w:sz="4" w:space="0" w:color="auto"/>
            </w:tcBorders>
            <w:shd w:val="clear" w:color="auto" w:fill="auto"/>
          </w:tcPr>
          <w:p w14:paraId="26A18198" w14:textId="77777777" w:rsidR="006975EC" w:rsidRPr="002B6A4F" w:rsidRDefault="006975EC" w:rsidP="0087546C">
            <w:pPr>
              <w:tabs>
                <w:tab w:val="left" w:pos="0"/>
                <w:tab w:val="decimal" w:pos="1418"/>
              </w:tabs>
              <w:rPr>
                <w:sz w:val="20"/>
                <w:szCs w:val="20"/>
              </w:rPr>
            </w:pPr>
          </w:p>
        </w:tc>
        <w:tc>
          <w:tcPr>
            <w:tcW w:w="1704" w:type="dxa"/>
            <w:tcBorders>
              <w:top w:val="single" w:sz="4" w:space="0" w:color="auto"/>
            </w:tcBorders>
          </w:tcPr>
          <w:p w14:paraId="1CF56974" w14:textId="77777777" w:rsidR="006975EC" w:rsidRPr="002B6A4F" w:rsidRDefault="006975EC" w:rsidP="0087546C">
            <w:pPr>
              <w:tabs>
                <w:tab w:val="left" w:pos="0"/>
                <w:tab w:val="decimal" w:pos="1418"/>
              </w:tabs>
              <w:rPr>
                <w:sz w:val="20"/>
                <w:szCs w:val="20"/>
              </w:rPr>
            </w:pPr>
          </w:p>
        </w:tc>
      </w:tr>
      <w:tr w:rsidR="006975EC" w:rsidRPr="002B6A4F" w14:paraId="2C8CCD9F" w14:textId="77777777" w:rsidTr="0087546C">
        <w:tc>
          <w:tcPr>
            <w:tcW w:w="5670" w:type="dxa"/>
            <w:shd w:val="clear" w:color="auto" w:fill="auto"/>
          </w:tcPr>
          <w:p w14:paraId="3332D9B8" w14:textId="77777777" w:rsidR="006975EC" w:rsidRPr="002B6A4F" w:rsidRDefault="006975EC" w:rsidP="0087546C">
            <w:pPr>
              <w:jc w:val="both"/>
              <w:rPr>
                <w:sz w:val="20"/>
                <w:szCs w:val="20"/>
              </w:rPr>
            </w:pPr>
            <w:r w:rsidRPr="002B6A4F">
              <w:rPr>
                <w:sz w:val="20"/>
                <w:szCs w:val="20"/>
              </w:rPr>
              <w:t>Opening balance</w:t>
            </w:r>
          </w:p>
        </w:tc>
        <w:tc>
          <w:tcPr>
            <w:tcW w:w="1702" w:type="dxa"/>
            <w:shd w:val="clear" w:color="auto" w:fill="auto"/>
          </w:tcPr>
          <w:p w14:paraId="40D74222" w14:textId="77777777" w:rsidR="006975EC" w:rsidRPr="002B6A4F" w:rsidRDefault="006975EC" w:rsidP="0087546C">
            <w:pPr>
              <w:tabs>
                <w:tab w:val="left" w:pos="0"/>
                <w:tab w:val="decimal" w:pos="1418"/>
              </w:tabs>
              <w:rPr>
                <w:sz w:val="20"/>
                <w:szCs w:val="20"/>
              </w:rPr>
            </w:pPr>
            <w:r w:rsidRPr="002B6A4F">
              <w:rPr>
                <w:sz w:val="20"/>
                <w:szCs w:val="20"/>
              </w:rPr>
              <w:t>$</w:t>
            </w:r>
            <w:r w:rsidRPr="002B6A4F">
              <w:rPr>
                <w:sz w:val="20"/>
                <w:szCs w:val="20"/>
              </w:rPr>
              <w:tab/>
              <w:t>300,443</w:t>
            </w:r>
          </w:p>
        </w:tc>
        <w:tc>
          <w:tcPr>
            <w:tcW w:w="1704" w:type="dxa"/>
          </w:tcPr>
          <w:p w14:paraId="1D10E779" w14:textId="77777777" w:rsidR="006975EC" w:rsidRPr="002B6A4F" w:rsidRDefault="006975EC" w:rsidP="0087546C">
            <w:pPr>
              <w:tabs>
                <w:tab w:val="left" w:pos="0"/>
                <w:tab w:val="decimal" w:pos="1418"/>
              </w:tabs>
              <w:rPr>
                <w:sz w:val="20"/>
                <w:szCs w:val="20"/>
              </w:rPr>
            </w:pPr>
            <w:r w:rsidRPr="002B6A4F">
              <w:rPr>
                <w:sz w:val="20"/>
                <w:szCs w:val="20"/>
              </w:rPr>
              <w:t>$</w:t>
            </w:r>
            <w:r w:rsidRPr="002B6A4F">
              <w:rPr>
                <w:sz w:val="20"/>
                <w:szCs w:val="20"/>
              </w:rPr>
              <w:tab/>
              <w:t>457,418</w:t>
            </w:r>
          </w:p>
        </w:tc>
      </w:tr>
      <w:tr w:rsidR="006975EC" w:rsidRPr="002B6A4F" w14:paraId="5C9E2343" w14:textId="77777777" w:rsidTr="0087546C">
        <w:tc>
          <w:tcPr>
            <w:tcW w:w="5670" w:type="dxa"/>
            <w:shd w:val="clear" w:color="auto" w:fill="auto"/>
          </w:tcPr>
          <w:p w14:paraId="30B91D3C" w14:textId="77777777" w:rsidR="006975EC" w:rsidRPr="002B6A4F" w:rsidRDefault="006975EC" w:rsidP="0087546C">
            <w:pPr>
              <w:ind w:left="175"/>
              <w:jc w:val="both"/>
              <w:rPr>
                <w:sz w:val="20"/>
                <w:szCs w:val="20"/>
              </w:rPr>
            </w:pPr>
            <w:r w:rsidRPr="002B6A4F">
              <w:rPr>
                <w:sz w:val="20"/>
                <w:szCs w:val="20"/>
              </w:rPr>
              <w:t>Lease accretion</w:t>
            </w:r>
          </w:p>
        </w:tc>
        <w:tc>
          <w:tcPr>
            <w:tcW w:w="1702" w:type="dxa"/>
            <w:shd w:val="clear" w:color="auto" w:fill="auto"/>
          </w:tcPr>
          <w:p w14:paraId="48A363C8" w14:textId="6207E88B" w:rsidR="006975EC" w:rsidRPr="002B6A4F" w:rsidRDefault="002B6A4F" w:rsidP="0087546C">
            <w:pPr>
              <w:tabs>
                <w:tab w:val="decimal" w:pos="1418"/>
              </w:tabs>
              <w:rPr>
                <w:sz w:val="20"/>
                <w:szCs w:val="20"/>
              </w:rPr>
            </w:pPr>
            <w:r w:rsidRPr="002B6A4F">
              <w:rPr>
                <w:sz w:val="20"/>
                <w:szCs w:val="20"/>
              </w:rPr>
              <w:t>12,124</w:t>
            </w:r>
          </w:p>
        </w:tc>
        <w:tc>
          <w:tcPr>
            <w:tcW w:w="1704" w:type="dxa"/>
          </w:tcPr>
          <w:p w14:paraId="3F37D975" w14:textId="77777777" w:rsidR="006975EC" w:rsidRPr="002B6A4F" w:rsidRDefault="006975EC" w:rsidP="0087546C">
            <w:pPr>
              <w:tabs>
                <w:tab w:val="decimal" w:pos="1418"/>
              </w:tabs>
              <w:rPr>
                <w:sz w:val="20"/>
                <w:szCs w:val="20"/>
              </w:rPr>
            </w:pPr>
            <w:r w:rsidRPr="002B6A4F">
              <w:rPr>
                <w:sz w:val="20"/>
                <w:szCs w:val="20"/>
              </w:rPr>
              <w:t>36,596</w:t>
            </w:r>
          </w:p>
        </w:tc>
      </w:tr>
      <w:tr w:rsidR="006975EC" w:rsidRPr="002B6A4F" w14:paraId="4C626EA6" w14:textId="77777777" w:rsidTr="0087546C">
        <w:tc>
          <w:tcPr>
            <w:tcW w:w="5670" w:type="dxa"/>
            <w:shd w:val="clear" w:color="auto" w:fill="auto"/>
          </w:tcPr>
          <w:p w14:paraId="39BB9F4D" w14:textId="77777777" w:rsidR="006975EC" w:rsidRPr="002B6A4F" w:rsidRDefault="006975EC" w:rsidP="0087546C">
            <w:pPr>
              <w:ind w:left="175"/>
              <w:jc w:val="both"/>
              <w:rPr>
                <w:sz w:val="20"/>
                <w:szCs w:val="20"/>
              </w:rPr>
            </w:pPr>
            <w:r w:rsidRPr="002B6A4F">
              <w:rPr>
                <w:sz w:val="20"/>
                <w:szCs w:val="20"/>
              </w:rPr>
              <w:t>Payments</w:t>
            </w:r>
          </w:p>
        </w:tc>
        <w:tc>
          <w:tcPr>
            <w:tcW w:w="1702" w:type="dxa"/>
            <w:shd w:val="clear" w:color="auto" w:fill="auto"/>
          </w:tcPr>
          <w:p w14:paraId="6DDB1E44" w14:textId="11CC1E13" w:rsidR="006975EC" w:rsidRPr="002B6A4F" w:rsidRDefault="006975EC" w:rsidP="0087546C">
            <w:pPr>
              <w:tabs>
                <w:tab w:val="decimal" w:pos="1418"/>
              </w:tabs>
              <w:rPr>
                <w:sz w:val="20"/>
                <w:szCs w:val="20"/>
              </w:rPr>
            </w:pPr>
            <w:r w:rsidRPr="002B6A4F">
              <w:rPr>
                <w:sz w:val="20"/>
                <w:szCs w:val="20"/>
              </w:rPr>
              <w:t>(</w:t>
            </w:r>
            <w:r w:rsidR="002B6A4F" w:rsidRPr="002B6A4F">
              <w:rPr>
                <w:sz w:val="20"/>
                <w:szCs w:val="20"/>
              </w:rPr>
              <w:t>102,833</w:t>
            </w:r>
            <w:r w:rsidRPr="002B6A4F">
              <w:rPr>
                <w:sz w:val="20"/>
                <w:szCs w:val="20"/>
              </w:rPr>
              <w:t>)</w:t>
            </w:r>
          </w:p>
        </w:tc>
        <w:tc>
          <w:tcPr>
            <w:tcW w:w="1704" w:type="dxa"/>
          </w:tcPr>
          <w:p w14:paraId="0A2519FB" w14:textId="77777777" w:rsidR="006975EC" w:rsidRPr="002B6A4F" w:rsidRDefault="006975EC" w:rsidP="0087546C">
            <w:pPr>
              <w:tabs>
                <w:tab w:val="decimal" w:pos="1418"/>
              </w:tabs>
              <w:rPr>
                <w:sz w:val="20"/>
                <w:szCs w:val="20"/>
              </w:rPr>
            </w:pPr>
            <w:r w:rsidRPr="002B6A4F">
              <w:rPr>
                <w:sz w:val="20"/>
                <w:szCs w:val="20"/>
              </w:rPr>
              <w:t>(193,571)</w:t>
            </w:r>
          </w:p>
        </w:tc>
      </w:tr>
      <w:tr w:rsidR="006975EC" w:rsidRPr="002B6A4F" w14:paraId="109820D3" w14:textId="77777777" w:rsidTr="0087546C">
        <w:tc>
          <w:tcPr>
            <w:tcW w:w="5670" w:type="dxa"/>
            <w:tcBorders>
              <w:top w:val="single" w:sz="4" w:space="0" w:color="auto"/>
            </w:tcBorders>
            <w:shd w:val="clear" w:color="auto" w:fill="auto"/>
          </w:tcPr>
          <w:p w14:paraId="773BC68B" w14:textId="77777777" w:rsidR="006975EC" w:rsidRPr="002B6A4F" w:rsidRDefault="006975EC" w:rsidP="0087546C">
            <w:pPr>
              <w:ind w:left="181"/>
              <w:jc w:val="both"/>
              <w:rPr>
                <w:sz w:val="20"/>
                <w:szCs w:val="20"/>
              </w:rPr>
            </w:pPr>
          </w:p>
        </w:tc>
        <w:tc>
          <w:tcPr>
            <w:tcW w:w="1702" w:type="dxa"/>
            <w:tcBorders>
              <w:top w:val="single" w:sz="4" w:space="0" w:color="auto"/>
            </w:tcBorders>
            <w:shd w:val="clear" w:color="auto" w:fill="auto"/>
          </w:tcPr>
          <w:p w14:paraId="4B3CC672" w14:textId="77777777" w:rsidR="006975EC" w:rsidRPr="002B6A4F" w:rsidRDefault="006975EC" w:rsidP="0087546C">
            <w:pPr>
              <w:tabs>
                <w:tab w:val="decimal" w:pos="1418"/>
              </w:tabs>
              <w:rPr>
                <w:sz w:val="20"/>
                <w:szCs w:val="20"/>
              </w:rPr>
            </w:pPr>
          </w:p>
        </w:tc>
        <w:tc>
          <w:tcPr>
            <w:tcW w:w="1704" w:type="dxa"/>
            <w:tcBorders>
              <w:top w:val="single" w:sz="4" w:space="0" w:color="auto"/>
            </w:tcBorders>
          </w:tcPr>
          <w:p w14:paraId="7595D84E" w14:textId="77777777" w:rsidR="006975EC" w:rsidRPr="002B6A4F" w:rsidRDefault="006975EC" w:rsidP="0087546C">
            <w:pPr>
              <w:tabs>
                <w:tab w:val="decimal" w:pos="1418"/>
              </w:tabs>
              <w:rPr>
                <w:sz w:val="20"/>
                <w:szCs w:val="20"/>
              </w:rPr>
            </w:pPr>
          </w:p>
        </w:tc>
      </w:tr>
      <w:tr w:rsidR="006975EC" w:rsidRPr="0007463E" w14:paraId="0066465C" w14:textId="77777777" w:rsidTr="0087546C">
        <w:tc>
          <w:tcPr>
            <w:tcW w:w="5670" w:type="dxa"/>
            <w:tcBorders>
              <w:bottom w:val="double" w:sz="4" w:space="0" w:color="auto"/>
            </w:tcBorders>
            <w:shd w:val="clear" w:color="auto" w:fill="auto"/>
          </w:tcPr>
          <w:p w14:paraId="372FF520" w14:textId="77777777" w:rsidR="006975EC" w:rsidRPr="002B6A4F" w:rsidRDefault="006975EC" w:rsidP="0087546C">
            <w:pPr>
              <w:jc w:val="both"/>
              <w:rPr>
                <w:sz w:val="20"/>
                <w:szCs w:val="20"/>
              </w:rPr>
            </w:pPr>
            <w:r w:rsidRPr="002B6A4F">
              <w:rPr>
                <w:sz w:val="20"/>
                <w:szCs w:val="20"/>
              </w:rPr>
              <w:t>Lease liabilities</w:t>
            </w:r>
          </w:p>
        </w:tc>
        <w:tc>
          <w:tcPr>
            <w:tcW w:w="1702" w:type="dxa"/>
            <w:tcBorders>
              <w:bottom w:val="double" w:sz="4" w:space="0" w:color="auto"/>
            </w:tcBorders>
            <w:shd w:val="clear" w:color="auto" w:fill="auto"/>
          </w:tcPr>
          <w:p w14:paraId="45DBA87D" w14:textId="77777777" w:rsidR="006975EC" w:rsidRPr="002B6A4F" w:rsidRDefault="006975EC" w:rsidP="0087546C">
            <w:pPr>
              <w:tabs>
                <w:tab w:val="left" w:pos="0"/>
                <w:tab w:val="decimal" w:pos="1418"/>
              </w:tabs>
              <w:rPr>
                <w:sz w:val="20"/>
                <w:szCs w:val="20"/>
              </w:rPr>
            </w:pPr>
            <w:r w:rsidRPr="002B6A4F">
              <w:rPr>
                <w:sz w:val="20"/>
                <w:szCs w:val="20"/>
              </w:rPr>
              <w:t>$</w:t>
            </w:r>
            <w:r w:rsidRPr="002B6A4F">
              <w:rPr>
                <w:sz w:val="20"/>
                <w:szCs w:val="20"/>
              </w:rPr>
              <w:tab/>
              <w:t>250,786</w:t>
            </w:r>
          </w:p>
        </w:tc>
        <w:tc>
          <w:tcPr>
            <w:tcW w:w="1704" w:type="dxa"/>
            <w:tcBorders>
              <w:bottom w:val="double" w:sz="4" w:space="0" w:color="auto"/>
            </w:tcBorders>
          </w:tcPr>
          <w:p w14:paraId="16DB916A" w14:textId="77777777" w:rsidR="006975EC" w:rsidRPr="002B6A4F" w:rsidRDefault="006975EC" w:rsidP="0087546C">
            <w:pPr>
              <w:tabs>
                <w:tab w:val="left" w:pos="0"/>
                <w:tab w:val="decimal" w:pos="1418"/>
              </w:tabs>
              <w:rPr>
                <w:sz w:val="20"/>
                <w:szCs w:val="20"/>
              </w:rPr>
            </w:pPr>
            <w:r w:rsidRPr="002B6A4F">
              <w:rPr>
                <w:sz w:val="20"/>
                <w:szCs w:val="20"/>
              </w:rPr>
              <w:t>$</w:t>
            </w:r>
            <w:r w:rsidRPr="002B6A4F">
              <w:rPr>
                <w:sz w:val="20"/>
                <w:szCs w:val="20"/>
              </w:rPr>
              <w:tab/>
              <w:t>300,443</w:t>
            </w:r>
          </w:p>
        </w:tc>
      </w:tr>
      <w:tr w:rsidR="006975EC" w:rsidRPr="0007463E" w14:paraId="42B22548" w14:textId="77777777" w:rsidTr="0087546C">
        <w:tc>
          <w:tcPr>
            <w:tcW w:w="5670" w:type="dxa"/>
            <w:tcBorders>
              <w:top w:val="double" w:sz="4" w:space="0" w:color="auto"/>
            </w:tcBorders>
          </w:tcPr>
          <w:p w14:paraId="6EA5E966" w14:textId="77777777" w:rsidR="006975EC" w:rsidRPr="0007463E" w:rsidRDefault="006975EC" w:rsidP="0087546C">
            <w:pPr>
              <w:jc w:val="both"/>
              <w:rPr>
                <w:sz w:val="20"/>
                <w:szCs w:val="20"/>
                <w:highlight w:val="yellow"/>
              </w:rPr>
            </w:pPr>
          </w:p>
        </w:tc>
        <w:tc>
          <w:tcPr>
            <w:tcW w:w="1702" w:type="dxa"/>
            <w:tcBorders>
              <w:top w:val="double" w:sz="4" w:space="0" w:color="auto"/>
            </w:tcBorders>
          </w:tcPr>
          <w:p w14:paraId="6DF7CDD0" w14:textId="77777777" w:rsidR="006975EC" w:rsidRPr="0007463E" w:rsidRDefault="006975EC" w:rsidP="0087546C">
            <w:pPr>
              <w:jc w:val="both"/>
              <w:rPr>
                <w:sz w:val="20"/>
                <w:szCs w:val="20"/>
                <w:highlight w:val="yellow"/>
              </w:rPr>
            </w:pPr>
          </w:p>
        </w:tc>
        <w:tc>
          <w:tcPr>
            <w:tcW w:w="1704" w:type="dxa"/>
            <w:tcBorders>
              <w:top w:val="double" w:sz="4" w:space="0" w:color="auto"/>
            </w:tcBorders>
          </w:tcPr>
          <w:p w14:paraId="569F9208" w14:textId="77777777" w:rsidR="006975EC" w:rsidRPr="0007463E" w:rsidRDefault="006975EC" w:rsidP="0087546C">
            <w:pPr>
              <w:jc w:val="both"/>
              <w:rPr>
                <w:sz w:val="20"/>
                <w:szCs w:val="20"/>
                <w:highlight w:val="yellow"/>
              </w:rPr>
            </w:pPr>
          </w:p>
        </w:tc>
      </w:tr>
    </w:tbl>
    <w:p w14:paraId="41F12CDB" w14:textId="77777777" w:rsidR="003324CA" w:rsidRPr="00005632" w:rsidRDefault="002B5C71" w:rsidP="00371BEA">
      <w:pPr>
        <w:pStyle w:val="ListParagraph"/>
        <w:numPr>
          <w:ilvl w:val="0"/>
          <w:numId w:val="33"/>
        </w:numPr>
        <w:ind w:left="284"/>
        <w:jc w:val="both"/>
        <w:rPr>
          <w:b/>
          <w:bCs/>
          <w:sz w:val="20"/>
          <w:szCs w:val="20"/>
        </w:rPr>
      </w:pPr>
      <w:r w:rsidRPr="00005632">
        <w:rPr>
          <w:b/>
          <w:bCs/>
          <w:sz w:val="20"/>
          <w:szCs w:val="20"/>
        </w:rPr>
        <w:t>SHARE CAPITAL</w:t>
      </w:r>
    </w:p>
    <w:p w14:paraId="5C529B2F" w14:textId="77777777" w:rsidR="002B5C71" w:rsidRPr="00005632" w:rsidRDefault="002B5C71" w:rsidP="002B5C71">
      <w:pPr>
        <w:jc w:val="both"/>
        <w:rPr>
          <w:b/>
          <w:bCs/>
          <w:sz w:val="20"/>
          <w:szCs w:val="20"/>
        </w:rPr>
      </w:pPr>
    </w:p>
    <w:p w14:paraId="4D9AC435" w14:textId="77777777" w:rsidR="00140564" w:rsidRPr="00005632" w:rsidRDefault="00140564" w:rsidP="00140564">
      <w:pPr>
        <w:ind w:left="284"/>
        <w:jc w:val="both"/>
        <w:rPr>
          <w:b/>
          <w:bCs/>
          <w:sz w:val="20"/>
          <w:szCs w:val="20"/>
        </w:rPr>
      </w:pPr>
      <w:r w:rsidRPr="00005632">
        <w:rPr>
          <w:b/>
          <w:bCs/>
          <w:sz w:val="20"/>
          <w:szCs w:val="20"/>
        </w:rPr>
        <w:t>Authorized share capital</w:t>
      </w:r>
    </w:p>
    <w:p w14:paraId="4565FCB2" w14:textId="77777777" w:rsidR="00140564" w:rsidRPr="00005632" w:rsidRDefault="00140564" w:rsidP="00140564">
      <w:pPr>
        <w:jc w:val="both"/>
        <w:rPr>
          <w:b/>
          <w:bCs/>
          <w:sz w:val="20"/>
          <w:szCs w:val="20"/>
        </w:rPr>
      </w:pPr>
    </w:p>
    <w:p w14:paraId="749C1187" w14:textId="77777777" w:rsidR="00140564" w:rsidRPr="00005632" w:rsidRDefault="00140564" w:rsidP="005C6969">
      <w:pPr>
        <w:pStyle w:val="ListParagraph"/>
        <w:numPr>
          <w:ilvl w:val="0"/>
          <w:numId w:val="4"/>
        </w:numPr>
        <w:jc w:val="both"/>
        <w:rPr>
          <w:sz w:val="20"/>
          <w:szCs w:val="20"/>
        </w:rPr>
      </w:pPr>
      <w:r w:rsidRPr="00005632">
        <w:rPr>
          <w:sz w:val="20"/>
          <w:szCs w:val="20"/>
        </w:rPr>
        <w:t>An unlimited number of common shares without par value.</w:t>
      </w:r>
    </w:p>
    <w:p w14:paraId="22595238" w14:textId="77777777" w:rsidR="00140564" w:rsidRPr="00005632" w:rsidRDefault="00140564" w:rsidP="005C6969">
      <w:pPr>
        <w:pStyle w:val="ListParagraph"/>
        <w:numPr>
          <w:ilvl w:val="0"/>
          <w:numId w:val="4"/>
        </w:numPr>
        <w:jc w:val="both"/>
        <w:rPr>
          <w:sz w:val="20"/>
          <w:szCs w:val="20"/>
        </w:rPr>
      </w:pPr>
      <w:r w:rsidRPr="00005632">
        <w:rPr>
          <w:sz w:val="20"/>
          <w:szCs w:val="20"/>
        </w:rPr>
        <w:t>An unlimited number of non-voting shares without par value.</w:t>
      </w:r>
    </w:p>
    <w:p w14:paraId="57B3F0A7" w14:textId="77777777" w:rsidR="00140564" w:rsidRPr="00005632" w:rsidRDefault="00140564" w:rsidP="005C6969">
      <w:pPr>
        <w:pStyle w:val="ListParagraph"/>
        <w:numPr>
          <w:ilvl w:val="0"/>
          <w:numId w:val="4"/>
        </w:numPr>
        <w:jc w:val="both"/>
        <w:rPr>
          <w:sz w:val="20"/>
          <w:szCs w:val="20"/>
        </w:rPr>
      </w:pPr>
      <w:r w:rsidRPr="00005632">
        <w:rPr>
          <w:sz w:val="20"/>
          <w:szCs w:val="20"/>
        </w:rPr>
        <w:t>An unlimited number of special shares without par value.</w:t>
      </w:r>
    </w:p>
    <w:p w14:paraId="2D242D5B" w14:textId="77777777" w:rsidR="00140564" w:rsidRPr="00760411" w:rsidRDefault="00140564" w:rsidP="00140564">
      <w:pPr>
        <w:pStyle w:val="ListParagraph"/>
        <w:ind w:left="284"/>
        <w:jc w:val="both"/>
        <w:rPr>
          <w:b/>
          <w:bCs/>
          <w:sz w:val="20"/>
          <w:szCs w:val="20"/>
        </w:rPr>
      </w:pPr>
    </w:p>
    <w:p w14:paraId="5FECCB1B" w14:textId="5DF15A56" w:rsidR="00140564" w:rsidRPr="00760411" w:rsidRDefault="00140564" w:rsidP="00140564">
      <w:pPr>
        <w:ind w:left="288"/>
        <w:rPr>
          <w:b/>
          <w:sz w:val="20"/>
          <w:szCs w:val="20"/>
        </w:rPr>
      </w:pPr>
      <w:r w:rsidRPr="00760411">
        <w:rPr>
          <w:b/>
          <w:sz w:val="20"/>
          <w:szCs w:val="20"/>
        </w:rPr>
        <w:t>Escrow shares</w:t>
      </w:r>
    </w:p>
    <w:p w14:paraId="0F238676" w14:textId="77777777" w:rsidR="009A3116" w:rsidRPr="00760411" w:rsidRDefault="009A3116" w:rsidP="00140564">
      <w:pPr>
        <w:ind w:left="288"/>
        <w:rPr>
          <w:b/>
          <w:sz w:val="20"/>
          <w:szCs w:val="20"/>
        </w:rPr>
      </w:pPr>
    </w:p>
    <w:p w14:paraId="1A38BCDA" w14:textId="68A4C091" w:rsidR="00140564" w:rsidRPr="0007463E" w:rsidRDefault="00140564" w:rsidP="00140564">
      <w:pPr>
        <w:ind w:left="288"/>
        <w:jc w:val="both"/>
        <w:rPr>
          <w:sz w:val="20"/>
          <w:szCs w:val="20"/>
          <w:highlight w:val="yellow"/>
        </w:rPr>
      </w:pPr>
      <w:r w:rsidRPr="00760411">
        <w:rPr>
          <w:sz w:val="20"/>
          <w:szCs w:val="20"/>
        </w:rPr>
        <w:t xml:space="preserve">As of </w:t>
      </w:r>
      <w:r w:rsidR="00C117D6" w:rsidRPr="00760411">
        <w:rPr>
          <w:sz w:val="20"/>
          <w:szCs w:val="20"/>
        </w:rPr>
        <w:t>June 30</w:t>
      </w:r>
      <w:r w:rsidRPr="00760411">
        <w:rPr>
          <w:sz w:val="20"/>
          <w:szCs w:val="20"/>
        </w:rPr>
        <w:t xml:space="preserve">, 2021, </w:t>
      </w:r>
      <w:r w:rsidR="004E3F6D" w:rsidRPr="00760411">
        <w:rPr>
          <w:sz w:val="20"/>
          <w:szCs w:val="20"/>
        </w:rPr>
        <w:t>2,083,045</w:t>
      </w:r>
      <w:r w:rsidRPr="00760411">
        <w:rPr>
          <w:sz w:val="20"/>
          <w:szCs w:val="20"/>
        </w:rPr>
        <w:t xml:space="preserve"> common shares are held in escrow </w:t>
      </w:r>
      <w:r w:rsidRPr="00005632">
        <w:rPr>
          <w:sz w:val="20"/>
          <w:szCs w:val="20"/>
        </w:rPr>
        <w:t>(</w:t>
      </w:r>
      <w:r w:rsidR="00137FDB" w:rsidRPr="00005632">
        <w:rPr>
          <w:sz w:val="20"/>
          <w:szCs w:val="20"/>
        </w:rPr>
        <w:t xml:space="preserve">December 31, </w:t>
      </w:r>
      <w:r w:rsidRPr="00005632">
        <w:rPr>
          <w:sz w:val="20"/>
          <w:szCs w:val="20"/>
        </w:rPr>
        <w:t xml:space="preserve">2020 – 3,124,568) pursuant to an Escrow Agreement </w:t>
      </w:r>
      <w:proofErr w:type="gramStart"/>
      <w:r w:rsidRPr="00005632">
        <w:rPr>
          <w:sz w:val="20"/>
          <w:szCs w:val="20"/>
        </w:rPr>
        <w:t>entered into</w:t>
      </w:r>
      <w:proofErr w:type="gramEnd"/>
      <w:r w:rsidRPr="00005632">
        <w:rPr>
          <w:sz w:val="20"/>
          <w:szCs w:val="20"/>
        </w:rPr>
        <w:t xml:space="preserve"> in conjunction with Marble’s initial public offering and listing on the CSE.  Common shares are released from escrow as to 10% on the listing date and the balance in equal 15% tranches to be released every six months from the listing date.</w:t>
      </w:r>
    </w:p>
    <w:p w14:paraId="0DB1BC35" w14:textId="77777777" w:rsidR="00140564" w:rsidRPr="0007463E" w:rsidRDefault="00140564" w:rsidP="00140564">
      <w:pPr>
        <w:jc w:val="both"/>
        <w:rPr>
          <w:b/>
          <w:bCs/>
          <w:sz w:val="20"/>
          <w:szCs w:val="20"/>
          <w:highlight w:val="yellow"/>
        </w:rPr>
      </w:pPr>
    </w:p>
    <w:p w14:paraId="768DFBE4" w14:textId="77777777" w:rsidR="00140564" w:rsidRPr="00005632" w:rsidRDefault="00140564" w:rsidP="00140564">
      <w:pPr>
        <w:pStyle w:val="ListParagraph"/>
        <w:ind w:left="284"/>
        <w:jc w:val="both"/>
        <w:rPr>
          <w:b/>
          <w:bCs/>
          <w:sz w:val="20"/>
          <w:szCs w:val="20"/>
        </w:rPr>
      </w:pPr>
      <w:r w:rsidRPr="00005632">
        <w:rPr>
          <w:b/>
          <w:bCs/>
          <w:sz w:val="20"/>
          <w:szCs w:val="20"/>
        </w:rPr>
        <w:t>Issued share capital</w:t>
      </w:r>
    </w:p>
    <w:p w14:paraId="40055456" w14:textId="77777777" w:rsidR="00140564" w:rsidRPr="00005632" w:rsidRDefault="00140564" w:rsidP="00140564">
      <w:pPr>
        <w:ind w:left="288"/>
        <w:jc w:val="both"/>
        <w:rPr>
          <w:sz w:val="20"/>
          <w:szCs w:val="20"/>
        </w:rPr>
      </w:pPr>
    </w:p>
    <w:p w14:paraId="2781407C" w14:textId="4AD5A951" w:rsidR="00140564" w:rsidRPr="00005632" w:rsidRDefault="00140564" w:rsidP="00140564">
      <w:pPr>
        <w:ind w:left="288"/>
        <w:jc w:val="both"/>
        <w:rPr>
          <w:sz w:val="20"/>
          <w:szCs w:val="20"/>
        </w:rPr>
      </w:pPr>
      <w:r w:rsidRPr="00005632">
        <w:rPr>
          <w:sz w:val="20"/>
          <w:szCs w:val="20"/>
        </w:rPr>
        <w:t xml:space="preserve">As </w:t>
      </w:r>
      <w:proofErr w:type="gramStart"/>
      <w:r w:rsidRPr="00005632">
        <w:rPr>
          <w:sz w:val="20"/>
          <w:szCs w:val="20"/>
        </w:rPr>
        <w:t>at</w:t>
      </w:r>
      <w:proofErr w:type="gramEnd"/>
      <w:r w:rsidRPr="00005632">
        <w:rPr>
          <w:sz w:val="20"/>
          <w:szCs w:val="20"/>
        </w:rPr>
        <w:t xml:space="preserve"> </w:t>
      </w:r>
      <w:r w:rsidR="00C117D6" w:rsidRPr="00005632">
        <w:rPr>
          <w:sz w:val="20"/>
          <w:szCs w:val="20"/>
        </w:rPr>
        <w:t>June 30</w:t>
      </w:r>
      <w:r w:rsidRPr="00005632">
        <w:rPr>
          <w:sz w:val="20"/>
          <w:szCs w:val="20"/>
        </w:rPr>
        <w:t xml:space="preserve">, 2021, Marble had </w:t>
      </w:r>
      <w:r w:rsidR="00393A62" w:rsidRPr="00393A62">
        <w:rPr>
          <w:sz w:val="20"/>
          <w:szCs w:val="20"/>
        </w:rPr>
        <w:t>77,229,007</w:t>
      </w:r>
      <w:r w:rsidR="00F63719" w:rsidRPr="00005632">
        <w:rPr>
          <w:color w:val="000000"/>
          <w:sz w:val="20"/>
          <w:szCs w:val="20"/>
        </w:rPr>
        <w:t xml:space="preserve"> </w:t>
      </w:r>
      <w:r w:rsidRPr="00005632">
        <w:rPr>
          <w:sz w:val="20"/>
          <w:szCs w:val="20"/>
        </w:rPr>
        <w:t>(</w:t>
      </w:r>
      <w:r w:rsidR="00137FDB" w:rsidRPr="00005632">
        <w:rPr>
          <w:sz w:val="20"/>
          <w:szCs w:val="20"/>
        </w:rPr>
        <w:t xml:space="preserve">December 31, </w:t>
      </w:r>
      <w:r w:rsidRPr="00005632">
        <w:rPr>
          <w:sz w:val="20"/>
          <w:szCs w:val="20"/>
        </w:rPr>
        <w:t>2020 – 71,696,497) common shares issued and outstanding. No non-voting shares and no special shares are issued and outstanding.</w:t>
      </w:r>
    </w:p>
    <w:p w14:paraId="5EF4547B" w14:textId="5E59D523" w:rsidR="00140564" w:rsidRPr="00005632" w:rsidRDefault="00140564" w:rsidP="00140564">
      <w:pPr>
        <w:ind w:left="288"/>
        <w:jc w:val="both"/>
        <w:rPr>
          <w:sz w:val="20"/>
          <w:szCs w:val="20"/>
        </w:rPr>
      </w:pPr>
    </w:p>
    <w:p w14:paraId="072D71AF" w14:textId="775A251B" w:rsidR="00140564" w:rsidRPr="00005632" w:rsidRDefault="00140564" w:rsidP="00140564">
      <w:pPr>
        <w:ind w:left="288"/>
        <w:jc w:val="both"/>
        <w:rPr>
          <w:sz w:val="20"/>
          <w:szCs w:val="20"/>
        </w:rPr>
      </w:pPr>
      <w:r w:rsidRPr="00005632">
        <w:rPr>
          <w:sz w:val="20"/>
          <w:szCs w:val="20"/>
        </w:rPr>
        <w:t xml:space="preserve">During the </w:t>
      </w:r>
      <w:r w:rsidR="00C117D6" w:rsidRPr="00005632">
        <w:rPr>
          <w:sz w:val="20"/>
          <w:szCs w:val="20"/>
        </w:rPr>
        <w:t>six months</w:t>
      </w:r>
      <w:r w:rsidRPr="00005632">
        <w:rPr>
          <w:sz w:val="20"/>
          <w:szCs w:val="20"/>
        </w:rPr>
        <w:t xml:space="preserve"> ended </w:t>
      </w:r>
      <w:r w:rsidR="00C117D6" w:rsidRPr="00005632">
        <w:rPr>
          <w:sz w:val="20"/>
          <w:szCs w:val="20"/>
        </w:rPr>
        <w:t>June 30</w:t>
      </w:r>
      <w:r w:rsidRPr="00005632">
        <w:rPr>
          <w:sz w:val="20"/>
          <w:szCs w:val="20"/>
        </w:rPr>
        <w:t>, 2021, Marble completed the following share issuances:</w:t>
      </w:r>
    </w:p>
    <w:p w14:paraId="3752937B" w14:textId="6D28A776" w:rsidR="00140564" w:rsidRPr="00005632" w:rsidRDefault="00140564" w:rsidP="00140564">
      <w:pPr>
        <w:ind w:left="288"/>
        <w:jc w:val="both"/>
        <w:rPr>
          <w:sz w:val="20"/>
          <w:szCs w:val="20"/>
        </w:rPr>
      </w:pPr>
    </w:p>
    <w:p w14:paraId="43106A82" w14:textId="20F4EBE4" w:rsidR="00ED0115" w:rsidRPr="00005632" w:rsidRDefault="00ED0115" w:rsidP="00ED0115">
      <w:pPr>
        <w:pStyle w:val="ListParagraph"/>
        <w:numPr>
          <w:ilvl w:val="0"/>
          <w:numId w:val="23"/>
        </w:numPr>
        <w:jc w:val="both"/>
        <w:rPr>
          <w:sz w:val="20"/>
          <w:szCs w:val="20"/>
        </w:rPr>
      </w:pPr>
      <w:r w:rsidRPr="00005632">
        <w:rPr>
          <w:sz w:val="20"/>
          <w:szCs w:val="20"/>
        </w:rPr>
        <w:t xml:space="preserve">On January 22, 2021, </w:t>
      </w:r>
      <w:r w:rsidR="00137FDB" w:rsidRPr="00005632">
        <w:rPr>
          <w:sz w:val="20"/>
          <w:szCs w:val="20"/>
        </w:rPr>
        <w:t>Marble</w:t>
      </w:r>
      <w:r w:rsidRPr="00005632">
        <w:rPr>
          <w:sz w:val="20"/>
          <w:szCs w:val="20"/>
        </w:rPr>
        <w:t xml:space="preserve"> launched a 12-month online marketing campaign through AGORACOM Internet Relations Corp. The total cost of the campaign is $75,000 plus applicable taxes, payable </w:t>
      </w:r>
      <w:r w:rsidR="009E4F3B" w:rsidRPr="00005632">
        <w:rPr>
          <w:sz w:val="20"/>
          <w:szCs w:val="20"/>
        </w:rPr>
        <w:t xml:space="preserve">through the issuance of </w:t>
      </w:r>
      <w:r w:rsidRPr="00005632">
        <w:rPr>
          <w:sz w:val="20"/>
          <w:szCs w:val="20"/>
        </w:rPr>
        <w:t xml:space="preserve">common shares with the first 20% of the fee payable on the commencement date and 20% at the end of each of the third, sixth, ninth and twelfth months thereafter. Marble issued 40,843 common shares on January 27, </w:t>
      </w:r>
      <w:proofErr w:type="gramStart"/>
      <w:r w:rsidRPr="00005632">
        <w:rPr>
          <w:sz w:val="20"/>
          <w:szCs w:val="20"/>
        </w:rPr>
        <w:t>2021</w:t>
      </w:r>
      <w:proofErr w:type="gramEnd"/>
      <w:r w:rsidRPr="00005632">
        <w:rPr>
          <w:sz w:val="20"/>
          <w:szCs w:val="20"/>
        </w:rPr>
        <w:t xml:space="preserve"> from treasury, for the first installment of the </w:t>
      </w:r>
      <w:r w:rsidR="009E4F3B" w:rsidRPr="00005632">
        <w:rPr>
          <w:sz w:val="20"/>
          <w:szCs w:val="20"/>
        </w:rPr>
        <w:t>fee</w:t>
      </w:r>
      <w:r w:rsidRPr="00005632">
        <w:rPr>
          <w:sz w:val="20"/>
          <w:szCs w:val="20"/>
        </w:rPr>
        <w:t>.</w:t>
      </w:r>
      <w:r w:rsidR="00137FDB" w:rsidRPr="00005632">
        <w:rPr>
          <w:sz w:val="20"/>
          <w:szCs w:val="20"/>
        </w:rPr>
        <w:t xml:space="preserve">  The fair value of the 40,843 common shares was determined to be $15,000</w:t>
      </w:r>
      <w:r w:rsidR="00FC2C7D" w:rsidRPr="00005632">
        <w:rPr>
          <w:sz w:val="20"/>
          <w:szCs w:val="20"/>
        </w:rPr>
        <w:t xml:space="preserve"> plus tax</w:t>
      </w:r>
      <w:r w:rsidR="00137FDB" w:rsidRPr="00005632">
        <w:rPr>
          <w:sz w:val="20"/>
          <w:szCs w:val="20"/>
        </w:rPr>
        <w:t>.</w:t>
      </w:r>
      <w:r w:rsidR="00005632" w:rsidRPr="00005632">
        <w:rPr>
          <w:sz w:val="20"/>
          <w:szCs w:val="20"/>
        </w:rPr>
        <w:t xml:space="preserve"> As </w:t>
      </w:r>
      <w:proofErr w:type="gramStart"/>
      <w:r w:rsidR="00005632" w:rsidRPr="00005632">
        <w:rPr>
          <w:sz w:val="20"/>
          <w:szCs w:val="20"/>
        </w:rPr>
        <w:t>at</w:t>
      </w:r>
      <w:proofErr w:type="gramEnd"/>
      <w:r w:rsidR="00005632" w:rsidRPr="00005632">
        <w:rPr>
          <w:sz w:val="20"/>
          <w:szCs w:val="20"/>
        </w:rPr>
        <w:t xml:space="preserve"> June 30, 2021, Marble has yet to issue shares representing the fees payable for the second and third installments. As a result, Marble has recorded $30,000 of shares issuable. </w:t>
      </w:r>
    </w:p>
    <w:p w14:paraId="1D9D23D8" w14:textId="77777777" w:rsidR="00ED0115" w:rsidRPr="00005632" w:rsidRDefault="00ED0115" w:rsidP="00ED0115">
      <w:pPr>
        <w:pStyle w:val="ListParagraph"/>
        <w:jc w:val="both"/>
        <w:rPr>
          <w:sz w:val="20"/>
          <w:szCs w:val="20"/>
        </w:rPr>
      </w:pPr>
    </w:p>
    <w:p w14:paraId="5A411A7A" w14:textId="5332DFB0" w:rsidR="00ED0115" w:rsidRDefault="00ED0115" w:rsidP="00ED0115">
      <w:pPr>
        <w:pStyle w:val="ListParagraph"/>
        <w:numPr>
          <w:ilvl w:val="0"/>
          <w:numId w:val="23"/>
        </w:numPr>
        <w:jc w:val="both"/>
        <w:rPr>
          <w:sz w:val="20"/>
          <w:szCs w:val="20"/>
        </w:rPr>
      </w:pPr>
      <w:r w:rsidRPr="00005632">
        <w:rPr>
          <w:sz w:val="20"/>
          <w:szCs w:val="20"/>
        </w:rPr>
        <w:t>On February 2, 2021, Marble closed a non-brokered private placement and issued 2,000,000 units at a price of $0.25 per unit for gross proceeds of $500,000.  Each unit is comprised of one common share and one-half of one common share purchase warrant, with each whole warrant entitling the holder to purchase an additional common share at a price of $0.35 for a period of 12 months following the closing date, subject to accelerated expiry if the common shares trade or close at a price of $0.45 or more for 10 consecutive trading days on the CSE.</w:t>
      </w:r>
      <w:r w:rsidR="002A347A" w:rsidRPr="00005632">
        <w:rPr>
          <w:sz w:val="20"/>
          <w:szCs w:val="20"/>
        </w:rPr>
        <w:t xml:space="preserve"> In connection with the private placement, the Company paid cash finders’ fees of $6,300.</w:t>
      </w:r>
    </w:p>
    <w:p w14:paraId="24B1E688" w14:textId="77777777" w:rsidR="00393A62" w:rsidRDefault="00393A62" w:rsidP="00393A62">
      <w:pPr>
        <w:pStyle w:val="ListParagraph"/>
        <w:jc w:val="both"/>
        <w:rPr>
          <w:sz w:val="20"/>
          <w:szCs w:val="20"/>
        </w:rPr>
      </w:pPr>
    </w:p>
    <w:p w14:paraId="2291E827" w14:textId="77777777" w:rsidR="00393A62" w:rsidRDefault="00393A62" w:rsidP="00393A62">
      <w:pPr>
        <w:pStyle w:val="ListParagraph"/>
        <w:jc w:val="both"/>
        <w:rPr>
          <w:sz w:val="20"/>
          <w:szCs w:val="20"/>
        </w:rPr>
      </w:pPr>
    </w:p>
    <w:p w14:paraId="26B16EBC" w14:textId="77777777" w:rsidR="00393A62" w:rsidRDefault="00393A62" w:rsidP="00393A62">
      <w:pPr>
        <w:pStyle w:val="ListParagraph"/>
        <w:jc w:val="both"/>
        <w:rPr>
          <w:sz w:val="20"/>
          <w:szCs w:val="20"/>
        </w:rPr>
      </w:pPr>
    </w:p>
    <w:p w14:paraId="0009ABE9" w14:textId="77777777" w:rsidR="00393A62" w:rsidRDefault="00393A62" w:rsidP="00393A62">
      <w:pPr>
        <w:pStyle w:val="ListParagraph"/>
        <w:jc w:val="both"/>
        <w:rPr>
          <w:sz w:val="20"/>
          <w:szCs w:val="20"/>
        </w:rPr>
      </w:pPr>
    </w:p>
    <w:p w14:paraId="611AFC37" w14:textId="77777777" w:rsidR="00393A62" w:rsidRPr="00005632" w:rsidRDefault="00393A62" w:rsidP="00393A62">
      <w:pPr>
        <w:pStyle w:val="ListParagraph"/>
        <w:numPr>
          <w:ilvl w:val="0"/>
          <w:numId w:val="34"/>
        </w:numPr>
        <w:ind w:left="284"/>
        <w:jc w:val="both"/>
        <w:rPr>
          <w:b/>
          <w:bCs/>
          <w:sz w:val="20"/>
          <w:szCs w:val="20"/>
        </w:rPr>
      </w:pPr>
      <w:r w:rsidRPr="00005632">
        <w:rPr>
          <w:b/>
          <w:bCs/>
          <w:sz w:val="20"/>
          <w:szCs w:val="20"/>
        </w:rPr>
        <w:t xml:space="preserve">SHARE CAPITAL </w:t>
      </w:r>
      <w:r w:rsidRPr="00005632">
        <w:rPr>
          <w:i/>
          <w:iCs/>
          <w:sz w:val="20"/>
          <w:szCs w:val="20"/>
        </w:rPr>
        <w:t>(cont’d…)</w:t>
      </w:r>
    </w:p>
    <w:p w14:paraId="610B3973" w14:textId="77777777" w:rsidR="00393A62" w:rsidRDefault="00393A62" w:rsidP="00393A62">
      <w:pPr>
        <w:pStyle w:val="ListParagraph"/>
        <w:jc w:val="both"/>
        <w:rPr>
          <w:sz w:val="20"/>
          <w:szCs w:val="20"/>
        </w:rPr>
      </w:pPr>
    </w:p>
    <w:p w14:paraId="6BE63746" w14:textId="46DFDC1D" w:rsidR="00393A62" w:rsidRPr="00005632" w:rsidRDefault="00393A62" w:rsidP="00835C5B">
      <w:pPr>
        <w:pStyle w:val="ListParagraph"/>
        <w:jc w:val="both"/>
        <w:rPr>
          <w:sz w:val="20"/>
          <w:szCs w:val="20"/>
        </w:rPr>
      </w:pPr>
      <w:r w:rsidRPr="008324B1">
        <w:rPr>
          <w:sz w:val="20"/>
          <w:szCs w:val="20"/>
        </w:rPr>
        <w:t xml:space="preserve">During the review of the Q2 </w:t>
      </w:r>
      <w:r>
        <w:rPr>
          <w:sz w:val="20"/>
          <w:szCs w:val="20"/>
        </w:rPr>
        <w:t>financial statements</w:t>
      </w:r>
      <w:r w:rsidRPr="008324B1">
        <w:rPr>
          <w:sz w:val="20"/>
          <w:szCs w:val="20"/>
        </w:rPr>
        <w:t xml:space="preserve"> it was discovered that </w:t>
      </w:r>
      <w:r>
        <w:rPr>
          <w:sz w:val="20"/>
          <w:szCs w:val="20"/>
        </w:rPr>
        <w:t>400,000</w:t>
      </w:r>
      <w:r w:rsidRPr="008324B1">
        <w:rPr>
          <w:sz w:val="20"/>
          <w:szCs w:val="20"/>
        </w:rPr>
        <w:t xml:space="preserve"> unit were subscribed for but not paid for. The Company is in possession of the 400</w:t>
      </w:r>
      <w:r>
        <w:rPr>
          <w:sz w:val="20"/>
          <w:szCs w:val="20"/>
        </w:rPr>
        <w:t>,000</w:t>
      </w:r>
      <w:r w:rsidRPr="008324B1">
        <w:rPr>
          <w:sz w:val="20"/>
          <w:szCs w:val="20"/>
        </w:rPr>
        <w:t xml:space="preserve"> units and has returned the 400</w:t>
      </w:r>
      <w:r>
        <w:rPr>
          <w:sz w:val="20"/>
          <w:szCs w:val="20"/>
        </w:rPr>
        <w:t>,000</w:t>
      </w:r>
      <w:r w:rsidRPr="008324B1">
        <w:rPr>
          <w:sz w:val="20"/>
          <w:szCs w:val="20"/>
        </w:rPr>
        <w:t xml:space="preserve"> shares to treasury and cancelled the 200</w:t>
      </w:r>
      <w:r>
        <w:rPr>
          <w:sz w:val="20"/>
          <w:szCs w:val="20"/>
        </w:rPr>
        <w:t>,000</w:t>
      </w:r>
      <w:r w:rsidRPr="008324B1">
        <w:rPr>
          <w:sz w:val="20"/>
          <w:szCs w:val="20"/>
        </w:rPr>
        <w:t xml:space="preserve"> warrants issued</w:t>
      </w:r>
      <w:r>
        <w:rPr>
          <w:sz w:val="20"/>
          <w:szCs w:val="20"/>
        </w:rPr>
        <w:t>.</w:t>
      </w:r>
    </w:p>
    <w:p w14:paraId="24939556" w14:textId="77777777" w:rsidR="00140564" w:rsidRPr="00005632" w:rsidRDefault="00140564" w:rsidP="00140564">
      <w:pPr>
        <w:ind w:left="288"/>
        <w:jc w:val="both"/>
        <w:rPr>
          <w:sz w:val="20"/>
          <w:szCs w:val="20"/>
        </w:rPr>
      </w:pPr>
    </w:p>
    <w:p w14:paraId="439C7437" w14:textId="7BE2A12A" w:rsidR="00526114" w:rsidRDefault="00526114" w:rsidP="00D75D3C">
      <w:pPr>
        <w:pStyle w:val="ListParagraph"/>
        <w:numPr>
          <w:ilvl w:val="0"/>
          <w:numId w:val="23"/>
        </w:numPr>
        <w:jc w:val="both"/>
        <w:rPr>
          <w:sz w:val="20"/>
          <w:szCs w:val="20"/>
        </w:rPr>
      </w:pPr>
      <w:r>
        <w:rPr>
          <w:sz w:val="20"/>
          <w:szCs w:val="20"/>
        </w:rPr>
        <w:t>On February 22, 2021, Marble issued an aggregate of 1,533,333 common shares pursuant to the conversion of $460,000 principal amount of Debentures at a price of $0.30 per common share (see Note 10)</w:t>
      </w:r>
    </w:p>
    <w:p w14:paraId="283D2990" w14:textId="77777777" w:rsidR="00526114" w:rsidRDefault="00526114" w:rsidP="00835C5B">
      <w:pPr>
        <w:pStyle w:val="ListParagraph"/>
        <w:jc w:val="both"/>
        <w:rPr>
          <w:sz w:val="20"/>
          <w:szCs w:val="20"/>
        </w:rPr>
      </w:pPr>
    </w:p>
    <w:p w14:paraId="26105241" w14:textId="77777777" w:rsidR="00F6491A" w:rsidRDefault="00D75D3C" w:rsidP="00D75D3C">
      <w:pPr>
        <w:pStyle w:val="ListParagraph"/>
        <w:numPr>
          <w:ilvl w:val="0"/>
          <w:numId w:val="23"/>
        </w:numPr>
        <w:jc w:val="both"/>
        <w:rPr>
          <w:sz w:val="20"/>
          <w:szCs w:val="20"/>
        </w:rPr>
      </w:pPr>
      <w:r w:rsidRPr="00005632">
        <w:rPr>
          <w:sz w:val="20"/>
          <w:szCs w:val="20"/>
        </w:rPr>
        <w:t>On March 25, 2021, Marble closed a non-brokered private placement and issued 2,333,334 units at a price of $0.30 per unit for gross proceeds of $700,000.  Each unit is comprised of one common share and one-half of one common share purchase warrant, with each whole warrant entitling the holder to purchase an additional common share at a price of $0.45 for a period of 12 months following the closing date, subject to accelerated expiry if the common shares trade or close at a price of $0.55 or more for 10 consecutive trading days on the CSE.</w:t>
      </w:r>
      <w:r w:rsidR="00F6491A">
        <w:rPr>
          <w:sz w:val="20"/>
          <w:szCs w:val="20"/>
        </w:rPr>
        <w:t xml:space="preserve"> </w:t>
      </w:r>
    </w:p>
    <w:p w14:paraId="5B305384" w14:textId="77777777" w:rsidR="00F6491A" w:rsidRPr="00835C5B" w:rsidRDefault="00F6491A" w:rsidP="00835C5B">
      <w:pPr>
        <w:pStyle w:val="ListParagraph"/>
        <w:rPr>
          <w:sz w:val="20"/>
          <w:szCs w:val="20"/>
        </w:rPr>
      </w:pPr>
    </w:p>
    <w:p w14:paraId="1585A6ED" w14:textId="4EE34E08" w:rsidR="00D75D3C" w:rsidRPr="00005632" w:rsidRDefault="00D75D3C" w:rsidP="00D75D3C">
      <w:pPr>
        <w:pStyle w:val="ListParagraph"/>
        <w:numPr>
          <w:ilvl w:val="0"/>
          <w:numId w:val="23"/>
        </w:numPr>
        <w:jc w:val="both"/>
        <w:rPr>
          <w:sz w:val="20"/>
          <w:szCs w:val="20"/>
        </w:rPr>
      </w:pPr>
      <w:r w:rsidRPr="00005632">
        <w:rPr>
          <w:sz w:val="20"/>
          <w:szCs w:val="20"/>
        </w:rPr>
        <w:t xml:space="preserve">On </w:t>
      </w:r>
      <w:r>
        <w:rPr>
          <w:sz w:val="20"/>
          <w:szCs w:val="20"/>
        </w:rPr>
        <w:t>May 31, 2021</w:t>
      </w:r>
      <w:r w:rsidRPr="00005632">
        <w:rPr>
          <w:sz w:val="20"/>
          <w:szCs w:val="20"/>
        </w:rPr>
        <w:t>, Marble issued 25,000 common shares pursuant to the exercise of restricted share units.  An aggregate of $</w:t>
      </w:r>
      <w:r w:rsidRPr="00D75D3C">
        <w:rPr>
          <w:sz w:val="20"/>
          <w:szCs w:val="20"/>
        </w:rPr>
        <w:t>4,125</w:t>
      </w:r>
      <w:r w:rsidRPr="00005632">
        <w:rPr>
          <w:sz w:val="20"/>
          <w:szCs w:val="20"/>
        </w:rPr>
        <w:t xml:space="preserve"> was transferred from the share purchase option reserve to share capital as a result.</w:t>
      </w:r>
    </w:p>
    <w:p w14:paraId="0D73D3AB" w14:textId="77777777" w:rsidR="00D75D3C" w:rsidRPr="00005632" w:rsidRDefault="00D75D3C" w:rsidP="00D75D3C">
      <w:pPr>
        <w:rPr>
          <w:sz w:val="20"/>
          <w:szCs w:val="20"/>
        </w:rPr>
      </w:pPr>
    </w:p>
    <w:p w14:paraId="4CD4D83D" w14:textId="6844E9DC" w:rsidR="00140564" w:rsidRPr="00005632" w:rsidRDefault="00140564" w:rsidP="00140564">
      <w:pPr>
        <w:ind w:left="288"/>
        <w:jc w:val="both"/>
        <w:rPr>
          <w:sz w:val="20"/>
          <w:szCs w:val="20"/>
        </w:rPr>
      </w:pPr>
      <w:r w:rsidRPr="00005632">
        <w:rPr>
          <w:sz w:val="20"/>
          <w:szCs w:val="20"/>
        </w:rPr>
        <w:t>During the year ended December 31, 2020, Marble completed the following share issuances:</w:t>
      </w:r>
    </w:p>
    <w:p w14:paraId="1C786764" w14:textId="77777777" w:rsidR="00140564" w:rsidRPr="00005632" w:rsidRDefault="00140564" w:rsidP="00140564">
      <w:pPr>
        <w:ind w:left="288"/>
        <w:jc w:val="both"/>
        <w:rPr>
          <w:sz w:val="20"/>
          <w:szCs w:val="20"/>
        </w:rPr>
      </w:pPr>
    </w:p>
    <w:p w14:paraId="3F967210" w14:textId="26CB5BF5" w:rsidR="00140564" w:rsidRPr="00005632" w:rsidRDefault="00140564" w:rsidP="00D75D3C">
      <w:pPr>
        <w:pStyle w:val="ListParagraph"/>
        <w:numPr>
          <w:ilvl w:val="0"/>
          <w:numId w:val="23"/>
        </w:numPr>
        <w:jc w:val="both"/>
        <w:rPr>
          <w:sz w:val="20"/>
          <w:szCs w:val="20"/>
        </w:rPr>
      </w:pPr>
      <w:r w:rsidRPr="00005632">
        <w:rPr>
          <w:sz w:val="20"/>
          <w:szCs w:val="20"/>
        </w:rPr>
        <w:t xml:space="preserve">On June 3, </w:t>
      </w:r>
      <w:proofErr w:type="gramStart"/>
      <w:r w:rsidRPr="00005632">
        <w:rPr>
          <w:sz w:val="20"/>
          <w:szCs w:val="20"/>
        </w:rPr>
        <w:t>2020</w:t>
      </w:r>
      <w:proofErr w:type="gramEnd"/>
      <w:r w:rsidRPr="00005632">
        <w:rPr>
          <w:sz w:val="20"/>
          <w:szCs w:val="20"/>
        </w:rPr>
        <w:t xml:space="preserve"> and November 27, 2020, Marble issued 25,000 and 50,000 common shares, respectively, pursuant to the exercise of restricted share units.  An aggregate of $12,375 was transferred from the share purchase option reserve to share capital as a result.</w:t>
      </w:r>
    </w:p>
    <w:p w14:paraId="3DA43C40" w14:textId="77777777" w:rsidR="00140564" w:rsidRPr="00005632" w:rsidRDefault="00140564" w:rsidP="00140564">
      <w:pPr>
        <w:pStyle w:val="ListParagraph"/>
        <w:jc w:val="both"/>
        <w:rPr>
          <w:sz w:val="20"/>
          <w:szCs w:val="20"/>
        </w:rPr>
      </w:pPr>
    </w:p>
    <w:p w14:paraId="60A83020" w14:textId="77777777" w:rsidR="00140564" w:rsidRPr="00005632" w:rsidRDefault="00140564" w:rsidP="00D75D3C">
      <w:pPr>
        <w:pStyle w:val="ListParagraph"/>
        <w:numPr>
          <w:ilvl w:val="0"/>
          <w:numId w:val="23"/>
        </w:numPr>
        <w:jc w:val="both"/>
        <w:rPr>
          <w:sz w:val="20"/>
          <w:szCs w:val="20"/>
        </w:rPr>
      </w:pPr>
      <w:r w:rsidRPr="00005632">
        <w:rPr>
          <w:sz w:val="20"/>
          <w:szCs w:val="20"/>
        </w:rPr>
        <w:t xml:space="preserve">On December 23, 2020, Marble </w:t>
      </w:r>
      <w:r w:rsidRPr="00005632">
        <w:rPr>
          <w:sz w:val="20"/>
          <w:szCs w:val="20"/>
          <w:lang w:val="en-US"/>
        </w:rPr>
        <w:t>closed a non-brokered private placement and issued an aggregate of 15,567,401 units at a price of $0.15 per unit for gross proceeds of $2,335,110. Each unit is comprised of one common share and one-half of one common share purchase warrant, with each whole warrant entitling the holder to purchase an additional common share at a price of $0.25 for a period of two years from the closing date. Warrants are subject to accelerated expiry if the common shares trade or close at a price of $0.35 or more for 10 consecutive trading days on the CSE. In connection with the private placement, Marble incurred share issuance costs of $12,705 and, issued an aggregate of 346,033 finders’ warrants with the same terms as the unit warrants.</w:t>
      </w:r>
      <w:r w:rsidRPr="00005632">
        <w:rPr>
          <w:sz w:val="20"/>
          <w:szCs w:val="20"/>
        </w:rPr>
        <w:t xml:space="preserve"> The finders’ warrants have an estimated fair value of $8,155 using the Black-Scholes pricing model and the following assumptions: a share price of $0.15, expected life of one year, a volatility of 80%, and a risk-free interest rate ranging from 0.21% to 0.27%. In addition to the finders’ fees and warrants, Marble also issued a total of 303,333 finders’ units with the same terms as the private placement units. These finders’ units were deemed to have a fair value of $0.15 per unit. </w:t>
      </w:r>
    </w:p>
    <w:p w14:paraId="26A4F56F" w14:textId="77777777" w:rsidR="005B2196" w:rsidRPr="0007463E" w:rsidRDefault="005B2196" w:rsidP="005B2196">
      <w:pPr>
        <w:pStyle w:val="ListParagraph"/>
        <w:ind w:left="284"/>
        <w:jc w:val="both"/>
        <w:rPr>
          <w:b/>
          <w:bCs/>
          <w:sz w:val="20"/>
          <w:szCs w:val="20"/>
          <w:highlight w:val="yellow"/>
        </w:rPr>
      </w:pPr>
    </w:p>
    <w:p w14:paraId="330D8F3A" w14:textId="77777777" w:rsidR="00D70116" w:rsidRPr="007160F7" w:rsidRDefault="00D70116" w:rsidP="00D70116">
      <w:pPr>
        <w:ind w:firstLine="284"/>
        <w:jc w:val="both"/>
        <w:rPr>
          <w:sz w:val="20"/>
          <w:szCs w:val="20"/>
        </w:rPr>
      </w:pPr>
      <w:r w:rsidRPr="007160F7">
        <w:rPr>
          <w:b/>
          <w:bCs/>
          <w:sz w:val="20"/>
          <w:szCs w:val="20"/>
        </w:rPr>
        <w:t>Share purchase options</w:t>
      </w:r>
    </w:p>
    <w:p w14:paraId="2A3C657C" w14:textId="77777777" w:rsidR="00D70116" w:rsidRPr="007160F7" w:rsidRDefault="00D70116" w:rsidP="00D70116">
      <w:pPr>
        <w:jc w:val="both"/>
        <w:rPr>
          <w:sz w:val="20"/>
          <w:szCs w:val="20"/>
        </w:rPr>
      </w:pPr>
    </w:p>
    <w:p w14:paraId="6A0E0F79" w14:textId="77777777" w:rsidR="00D70116" w:rsidRPr="007160F7" w:rsidRDefault="00D70116" w:rsidP="00D70116">
      <w:pPr>
        <w:ind w:left="288"/>
        <w:jc w:val="both"/>
        <w:rPr>
          <w:sz w:val="20"/>
          <w:szCs w:val="20"/>
        </w:rPr>
      </w:pPr>
      <w:r w:rsidRPr="007160F7">
        <w:rPr>
          <w:sz w:val="20"/>
          <w:szCs w:val="20"/>
        </w:rPr>
        <w:t xml:space="preserve">The Company has a share purchase option plan (the “Share Purchase Option Plan”) under which it is authorized to grant options for the acquisition of its common shares to directors, </w:t>
      </w:r>
      <w:proofErr w:type="gramStart"/>
      <w:r w:rsidRPr="007160F7">
        <w:rPr>
          <w:sz w:val="20"/>
          <w:szCs w:val="20"/>
        </w:rPr>
        <w:t>employees</w:t>
      </w:r>
      <w:proofErr w:type="gramEnd"/>
      <w:r w:rsidRPr="007160F7">
        <w:rPr>
          <w:sz w:val="20"/>
          <w:szCs w:val="20"/>
        </w:rPr>
        <w:t xml:space="preserve"> and consultants up to a maximum of 10% of the issued and outstanding common shares of Marble at the time the plan was adopted.  The exercise price shall not be less than the market price of Marble’s common shares as at the grant date and in accordance with CSE policies.  The options may be granted for a maximum term of five years.  Options granted to directors, </w:t>
      </w:r>
      <w:proofErr w:type="gramStart"/>
      <w:r w:rsidRPr="007160F7">
        <w:rPr>
          <w:sz w:val="20"/>
          <w:szCs w:val="20"/>
        </w:rPr>
        <w:lastRenderedPageBreak/>
        <w:t>employees</w:t>
      </w:r>
      <w:proofErr w:type="gramEnd"/>
      <w:r w:rsidRPr="007160F7">
        <w:rPr>
          <w:sz w:val="20"/>
          <w:szCs w:val="20"/>
        </w:rPr>
        <w:t xml:space="preserve"> and consultants, other than consultants engaged in investor relations activities, will generally be subject to standard vesting provisions as to 25% on the date of grant and 25% on each anniversary date, such that all share purchase options fully vest over three years from the date of grant, unless otherwise determined by Marble’s Board of Directors.  Share purchase options granted to consultants engaged in investor relations activities will vest in stages over a minimum period of twelve months, pursuant to the Share Purchase Option Plan and as determined by Marble’s Board of Directors.</w:t>
      </w:r>
    </w:p>
    <w:p w14:paraId="38749576" w14:textId="77777777" w:rsidR="00D70116" w:rsidRPr="0007463E" w:rsidRDefault="00D70116" w:rsidP="00D70116">
      <w:pPr>
        <w:jc w:val="both"/>
        <w:rPr>
          <w:sz w:val="20"/>
          <w:szCs w:val="20"/>
          <w:highlight w:val="yellow"/>
        </w:rPr>
      </w:pPr>
    </w:p>
    <w:p w14:paraId="2C529071" w14:textId="15182F00" w:rsidR="00ED1B7A" w:rsidRDefault="00ED1B7A" w:rsidP="00ED1B7A">
      <w:pPr>
        <w:ind w:left="284"/>
        <w:jc w:val="both"/>
        <w:rPr>
          <w:sz w:val="20"/>
          <w:szCs w:val="20"/>
          <w:highlight w:val="yellow"/>
        </w:rPr>
      </w:pPr>
    </w:p>
    <w:p w14:paraId="5BCFCF9E" w14:textId="77777777" w:rsidR="00526114" w:rsidRDefault="00526114" w:rsidP="00ED1B7A">
      <w:pPr>
        <w:ind w:left="284"/>
        <w:jc w:val="both"/>
        <w:rPr>
          <w:sz w:val="20"/>
          <w:szCs w:val="20"/>
          <w:highlight w:val="yellow"/>
        </w:rPr>
      </w:pPr>
    </w:p>
    <w:p w14:paraId="11833820" w14:textId="7E65F33C" w:rsidR="00ED1B7A" w:rsidRDefault="00ED1B7A" w:rsidP="00ED1B7A">
      <w:pPr>
        <w:ind w:left="284"/>
        <w:jc w:val="both"/>
        <w:rPr>
          <w:sz w:val="20"/>
          <w:szCs w:val="20"/>
          <w:highlight w:val="yellow"/>
        </w:rPr>
      </w:pPr>
    </w:p>
    <w:p w14:paraId="234F81B0" w14:textId="77777777" w:rsidR="00D70116" w:rsidRPr="00D243AF" w:rsidRDefault="00D70116" w:rsidP="00371BEA">
      <w:pPr>
        <w:pStyle w:val="ListParagraph"/>
        <w:numPr>
          <w:ilvl w:val="0"/>
          <w:numId w:val="35"/>
        </w:numPr>
        <w:ind w:left="284"/>
        <w:jc w:val="both"/>
        <w:rPr>
          <w:b/>
          <w:bCs/>
          <w:sz w:val="20"/>
          <w:szCs w:val="20"/>
        </w:rPr>
      </w:pPr>
      <w:r w:rsidRPr="00D243AF">
        <w:rPr>
          <w:b/>
          <w:bCs/>
          <w:sz w:val="20"/>
          <w:szCs w:val="20"/>
        </w:rPr>
        <w:t xml:space="preserve">SHARE CAPITAL </w:t>
      </w:r>
      <w:r w:rsidRPr="00D243AF">
        <w:rPr>
          <w:i/>
          <w:iCs/>
          <w:sz w:val="20"/>
          <w:szCs w:val="20"/>
        </w:rPr>
        <w:t>(cont’d…)</w:t>
      </w:r>
    </w:p>
    <w:p w14:paraId="3C2EF44F" w14:textId="77777777" w:rsidR="00D70116" w:rsidRPr="00D243AF" w:rsidRDefault="00D70116" w:rsidP="00D70116">
      <w:pPr>
        <w:ind w:left="284"/>
        <w:jc w:val="both"/>
        <w:rPr>
          <w:sz w:val="20"/>
          <w:szCs w:val="20"/>
        </w:rPr>
      </w:pPr>
    </w:p>
    <w:p w14:paraId="705F5D74" w14:textId="77777777" w:rsidR="00D70116" w:rsidRPr="00D243AF" w:rsidRDefault="00D70116" w:rsidP="00D70116">
      <w:pPr>
        <w:ind w:left="284"/>
        <w:jc w:val="both"/>
        <w:rPr>
          <w:i/>
          <w:iCs/>
          <w:sz w:val="20"/>
          <w:szCs w:val="20"/>
        </w:rPr>
      </w:pPr>
      <w:r w:rsidRPr="00D243AF">
        <w:rPr>
          <w:b/>
          <w:bCs/>
          <w:sz w:val="20"/>
          <w:szCs w:val="20"/>
        </w:rPr>
        <w:t>Share purchase options</w:t>
      </w:r>
      <w:r w:rsidRPr="00D243AF">
        <w:rPr>
          <w:sz w:val="20"/>
          <w:szCs w:val="20"/>
        </w:rPr>
        <w:t xml:space="preserve"> </w:t>
      </w:r>
      <w:r w:rsidRPr="00D243AF">
        <w:rPr>
          <w:i/>
          <w:iCs/>
          <w:sz w:val="20"/>
          <w:szCs w:val="20"/>
        </w:rPr>
        <w:t>(cont’d…)</w:t>
      </w:r>
    </w:p>
    <w:p w14:paraId="6AECE685" w14:textId="348E2CD6" w:rsidR="00ED1B7A" w:rsidRDefault="00ED1B7A" w:rsidP="00ED1B7A">
      <w:pPr>
        <w:ind w:left="284"/>
        <w:jc w:val="both"/>
        <w:rPr>
          <w:sz w:val="20"/>
          <w:szCs w:val="20"/>
        </w:rPr>
      </w:pPr>
    </w:p>
    <w:p w14:paraId="25084E52" w14:textId="77777777" w:rsidR="00F6491A" w:rsidRDefault="00F6491A" w:rsidP="00F6491A">
      <w:pPr>
        <w:ind w:left="284"/>
        <w:jc w:val="both"/>
        <w:rPr>
          <w:sz w:val="20"/>
          <w:szCs w:val="20"/>
          <w:highlight w:val="yellow"/>
        </w:rPr>
      </w:pPr>
      <w:r w:rsidRPr="00D243AF">
        <w:rPr>
          <w:sz w:val="20"/>
          <w:szCs w:val="20"/>
        </w:rPr>
        <w:t>During the six months ended June 30, 2021, Marble granted 3,360,000 share purchase options (2020 – 1,500,000). The weighted average fair value of the options granted during the period ended June 30, 2021, was approximately $0.15 per option (2020 - $0.08). The fair value was estimated using the Black-Scholes option pricing model using the following weighted average inputs:</w:t>
      </w:r>
    </w:p>
    <w:p w14:paraId="56CD05DE" w14:textId="77777777" w:rsidR="00F6491A" w:rsidRPr="007160F7" w:rsidRDefault="00F6491A" w:rsidP="00ED1B7A">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ED1B7A" w:rsidRPr="007160F7" w14:paraId="7E00A60B" w14:textId="77777777" w:rsidTr="002064A4">
        <w:tc>
          <w:tcPr>
            <w:tcW w:w="6090" w:type="dxa"/>
            <w:tcBorders>
              <w:top w:val="double" w:sz="4" w:space="0" w:color="auto"/>
              <w:bottom w:val="single" w:sz="4" w:space="0" w:color="auto"/>
            </w:tcBorders>
          </w:tcPr>
          <w:p w14:paraId="1D546AC3" w14:textId="77777777" w:rsidR="00ED1B7A" w:rsidRPr="007160F7" w:rsidRDefault="00ED1B7A" w:rsidP="002064A4">
            <w:pPr>
              <w:rPr>
                <w:sz w:val="20"/>
                <w:szCs w:val="20"/>
              </w:rPr>
            </w:pPr>
          </w:p>
        </w:tc>
        <w:tc>
          <w:tcPr>
            <w:tcW w:w="1488" w:type="dxa"/>
            <w:tcBorders>
              <w:top w:val="double" w:sz="4" w:space="0" w:color="auto"/>
              <w:bottom w:val="single" w:sz="4" w:space="0" w:color="auto"/>
            </w:tcBorders>
          </w:tcPr>
          <w:p w14:paraId="4A908ACA" w14:textId="77777777" w:rsidR="00ED1B7A" w:rsidRPr="007160F7" w:rsidRDefault="00ED1B7A" w:rsidP="002064A4">
            <w:pPr>
              <w:tabs>
                <w:tab w:val="decimal" w:pos="1202"/>
              </w:tabs>
              <w:rPr>
                <w:b/>
                <w:bCs/>
                <w:sz w:val="20"/>
                <w:szCs w:val="20"/>
              </w:rPr>
            </w:pPr>
            <w:r w:rsidRPr="007160F7">
              <w:rPr>
                <w:b/>
                <w:bCs/>
                <w:sz w:val="20"/>
                <w:szCs w:val="20"/>
              </w:rPr>
              <w:t>June 30,</w:t>
            </w:r>
          </w:p>
          <w:p w14:paraId="262939F5" w14:textId="77777777" w:rsidR="00ED1B7A" w:rsidRPr="007160F7" w:rsidRDefault="00ED1B7A" w:rsidP="002064A4">
            <w:pPr>
              <w:tabs>
                <w:tab w:val="decimal" w:pos="1202"/>
              </w:tabs>
              <w:rPr>
                <w:b/>
                <w:bCs/>
                <w:sz w:val="20"/>
                <w:szCs w:val="20"/>
              </w:rPr>
            </w:pPr>
            <w:r w:rsidRPr="007160F7">
              <w:rPr>
                <w:b/>
                <w:bCs/>
                <w:sz w:val="20"/>
                <w:szCs w:val="20"/>
              </w:rPr>
              <w:t xml:space="preserve"> 2021</w:t>
            </w:r>
          </w:p>
        </w:tc>
        <w:tc>
          <w:tcPr>
            <w:tcW w:w="1488" w:type="dxa"/>
            <w:tcBorders>
              <w:top w:val="double" w:sz="4" w:space="0" w:color="auto"/>
              <w:bottom w:val="single" w:sz="4" w:space="0" w:color="auto"/>
            </w:tcBorders>
          </w:tcPr>
          <w:p w14:paraId="16A125ED" w14:textId="77777777" w:rsidR="00ED1B7A" w:rsidRPr="007160F7" w:rsidRDefault="00ED1B7A" w:rsidP="002064A4">
            <w:pPr>
              <w:tabs>
                <w:tab w:val="decimal" w:pos="1202"/>
              </w:tabs>
              <w:rPr>
                <w:b/>
                <w:bCs/>
                <w:sz w:val="20"/>
                <w:szCs w:val="20"/>
              </w:rPr>
            </w:pPr>
            <w:r w:rsidRPr="007160F7">
              <w:rPr>
                <w:b/>
                <w:bCs/>
                <w:sz w:val="20"/>
                <w:szCs w:val="20"/>
              </w:rPr>
              <w:t>December 31,</w:t>
            </w:r>
          </w:p>
          <w:p w14:paraId="3F38B83C" w14:textId="77777777" w:rsidR="00ED1B7A" w:rsidRPr="007160F7" w:rsidRDefault="00ED1B7A" w:rsidP="002064A4">
            <w:pPr>
              <w:tabs>
                <w:tab w:val="decimal" w:pos="1202"/>
              </w:tabs>
              <w:rPr>
                <w:b/>
                <w:bCs/>
                <w:sz w:val="20"/>
                <w:szCs w:val="20"/>
              </w:rPr>
            </w:pPr>
            <w:r w:rsidRPr="007160F7">
              <w:rPr>
                <w:b/>
                <w:bCs/>
                <w:sz w:val="20"/>
                <w:szCs w:val="20"/>
              </w:rPr>
              <w:t xml:space="preserve"> 2020</w:t>
            </w:r>
          </w:p>
        </w:tc>
      </w:tr>
      <w:tr w:rsidR="00ED1B7A" w:rsidRPr="007160F7" w14:paraId="5F924C31" w14:textId="77777777" w:rsidTr="002064A4">
        <w:tc>
          <w:tcPr>
            <w:tcW w:w="6090" w:type="dxa"/>
            <w:tcBorders>
              <w:top w:val="single" w:sz="4" w:space="0" w:color="auto"/>
            </w:tcBorders>
          </w:tcPr>
          <w:p w14:paraId="79EEE270" w14:textId="77777777" w:rsidR="00ED1B7A" w:rsidRPr="007160F7" w:rsidRDefault="00ED1B7A" w:rsidP="002064A4">
            <w:pPr>
              <w:rPr>
                <w:sz w:val="20"/>
                <w:szCs w:val="20"/>
              </w:rPr>
            </w:pPr>
            <w:r w:rsidRPr="007160F7">
              <w:rPr>
                <w:sz w:val="20"/>
                <w:szCs w:val="20"/>
              </w:rPr>
              <w:t>Risk-free interest rate</w:t>
            </w:r>
          </w:p>
        </w:tc>
        <w:tc>
          <w:tcPr>
            <w:tcW w:w="1488" w:type="dxa"/>
            <w:tcBorders>
              <w:top w:val="single" w:sz="4" w:space="0" w:color="auto"/>
            </w:tcBorders>
          </w:tcPr>
          <w:p w14:paraId="5C71D8FF" w14:textId="77777777" w:rsidR="00ED1B7A" w:rsidRPr="007160F7" w:rsidRDefault="00ED1B7A" w:rsidP="002064A4">
            <w:pPr>
              <w:tabs>
                <w:tab w:val="left" w:pos="0"/>
                <w:tab w:val="decimal" w:pos="1202"/>
              </w:tabs>
              <w:rPr>
                <w:sz w:val="20"/>
                <w:szCs w:val="20"/>
              </w:rPr>
            </w:pPr>
            <w:r w:rsidRPr="007160F7">
              <w:rPr>
                <w:sz w:val="20"/>
                <w:szCs w:val="20"/>
              </w:rPr>
              <w:tab/>
              <w:t>0.61%</w:t>
            </w:r>
          </w:p>
        </w:tc>
        <w:tc>
          <w:tcPr>
            <w:tcW w:w="1488" w:type="dxa"/>
            <w:tcBorders>
              <w:top w:val="single" w:sz="4" w:space="0" w:color="auto"/>
            </w:tcBorders>
          </w:tcPr>
          <w:p w14:paraId="169EA7A6" w14:textId="77777777" w:rsidR="00ED1B7A" w:rsidRPr="007160F7" w:rsidRDefault="00ED1B7A" w:rsidP="002064A4">
            <w:pPr>
              <w:tabs>
                <w:tab w:val="left" w:pos="0"/>
                <w:tab w:val="decimal" w:pos="1202"/>
              </w:tabs>
              <w:rPr>
                <w:sz w:val="20"/>
                <w:szCs w:val="20"/>
              </w:rPr>
            </w:pPr>
            <w:r w:rsidRPr="007160F7">
              <w:rPr>
                <w:sz w:val="20"/>
                <w:szCs w:val="20"/>
              </w:rPr>
              <w:tab/>
              <w:t>0.83%</w:t>
            </w:r>
          </w:p>
        </w:tc>
      </w:tr>
      <w:tr w:rsidR="00ED1B7A" w:rsidRPr="007160F7" w14:paraId="1D729F08" w14:textId="77777777" w:rsidTr="002064A4">
        <w:tc>
          <w:tcPr>
            <w:tcW w:w="6090" w:type="dxa"/>
          </w:tcPr>
          <w:p w14:paraId="0A81D92F" w14:textId="77777777" w:rsidR="00ED1B7A" w:rsidRPr="007160F7" w:rsidRDefault="00ED1B7A" w:rsidP="002064A4">
            <w:pPr>
              <w:rPr>
                <w:sz w:val="20"/>
                <w:szCs w:val="20"/>
              </w:rPr>
            </w:pPr>
            <w:r w:rsidRPr="007160F7">
              <w:rPr>
                <w:sz w:val="20"/>
                <w:szCs w:val="20"/>
              </w:rPr>
              <w:t>Expected volatility</w:t>
            </w:r>
          </w:p>
        </w:tc>
        <w:tc>
          <w:tcPr>
            <w:tcW w:w="1488" w:type="dxa"/>
          </w:tcPr>
          <w:p w14:paraId="32758A56" w14:textId="77777777" w:rsidR="00ED1B7A" w:rsidRPr="007160F7" w:rsidRDefault="00ED1B7A" w:rsidP="002064A4">
            <w:pPr>
              <w:tabs>
                <w:tab w:val="decimal" w:pos="1202"/>
              </w:tabs>
              <w:rPr>
                <w:sz w:val="20"/>
                <w:szCs w:val="20"/>
              </w:rPr>
            </w:pPr>
            <w:r w:rsidRPr="007160F7">
              <w:rPr>
                <w:sz w:val="20"/>
                <w:szCs w:val="20"/>
              </w:rPr>
              <w:t>80%</w:t>
            </w:r>
          </w:p>
        </w:tc>
        <w:tc>
          <w:tcPr>
            <w:tcW w:w="1488" w:type="dxa"/>
          </w:tcPr>
          <w:p w14:paraId="6248C9CD" w14:textId="77777777" w:rsidR="00ED1B7A" w:rsidRPr="007160F7" w:rsidRDefault="00ED1B7A" w:rsidP="002064A4">
            <w:pPr>
              <w:tabs>
                <w:tab w:val="decimal" w:pos="1202"/>
              </w:tabs>
              <w:rPr>
                <w:sz w:val="20"/>
                <w:szCs w:val="20"/>
              </w:rPr>
            </w:pPr>
            <w:r w:rsidRPr="007160F7">
              <w:rPr>
                <w:sz w:val="20"/>
                <w:szCs w:val="20"/>
              </w:rPr>
              <w:t>80%</w:t>
            </w:r>
          </w:p>
        </w:tc>
      </w:tr>
      <w:tr w:rsidR="00ED1B7A" w:rsidRPr="007160F7" w14:paraId="0279AE05" w14:textId="77777777" w:rsidTr="002064A4">
        <w:tc>
          <w:tcPr>
            <w:tcW w:w="6090" w:type="dxa"/>
          </w:tcPr>
          <w:p w14:paraId="514BBC6A" w14:textId="77777777" w:rsidR="00ED1B7A" w:rsidRPr="007160F7" w:rsidRDefault="00ED1B7A" w:rsidP="002064A4">
            <w:pPr>
              <w:rPr>
                <w:sz w:val="20"/>
                <w:szCs w:val="20"/>
              </w:rPr>
            </w:pPr>
            <w:r w:rsidRPr="007160F7">
              <w:rPr>
                <w:sz w:val="20"/>
                <w:szCs w:val="20"/>
              </w:rPr>
              <w:t>Expected dividends</w:t>
            </w:r>
          </w:p>
        </w:tc>
        <w:tc>
          <w:tcPr>
            <w:tcW w:w="1488" w:type="dxa"/>
          </w:tcPr>
          <w:p w14:paraId="6188056C" w14:textId="77777777" w:rsidR="00ED1B7A" w:rsidRPr="007160F7" w:rsidRDefault="00ED1B7A" w:rsidP="002064A4">
            <w:pPr>
              <w:tabs>
                <w:tab w:val="decimal" w:pos="1202"/>
              </w:tabs>
              <w:rPr>
                <w:sz w:val="20"/>
                <w:szCs w:val="20"/>
              </w:rPr>
            </w:pPr>
            <w:r w:rsidRPr="007160F7">
              <w:rPr>
                <w:sz w:val="20"/>
                <w:szCs w:val="20"/>
              </w:rPr>
              <w:t>0%</w:t>
            </w:r>
          </w:p>
        </w:tc>
        <w:tc>
          <w:tcPr>
            <w:tcW w:w="1488" w:type="dxa"/>
          </w:tcPr>
          <w:p w14:paraId="3A44F50C" w14:textId="77777777" w:rsidR="00ED1B7A" w:rsidRPr="007160F7" w:rsidRDefault="00ED1B7A" w:rsidP="002064A4">
            <w:pPr>
              <w:tabs>
                <w:tab w:val="decimal" w:pos="1202"/>
              </w:tabs>
              <w:rPr>
                <w:sz w:val="20"/>
                <w:szCs w:val="20"/>
              </w:rPr>
            </w:pPr>
            <w:r w:rsidRPr="007160F7">
              <w:rPr>
                <w:sz w:val="20"/>
                <w:szCs w:val="20"/>
              </w:rPr>
              <w:t>0%</w:t>
            </w:r>
          </w:p>
        </w:tc>
      </w:tr>
      <w:tr w:rsidR="00ED1B7A" w:rsidRPr="007160F7" w14:paraId="3E6A5B36" w14:textId="77777777" w:rsidTr="002064A4">
        <w:tc>
          <w:tcPr>
            <w:tcW w:w="6090" w:type="dxa"/>
          </w:tcPr>
          <w:p w14:paraId="1115B56F" w14:textId="77777777" w:rsidR="00ED1B7A" w:rsidRPr="007160F7" w:rsidRDefault="00ED1B7A" w:rsidP="002064A4">
            <w:pPr>
              <w:rPr>
                <w:sz w:val="20"/>
                <w:szCs w:val="20"/>
              </w:rPr>
            </w:pPr>
            <w:r w:rsidRPr="007160F7">
              <w:rPr>
                <w:sz w:val="20"/>
                <w:szCs w:val="20"/>
              </w:rPr>
              <w:t>Expected life</w:t>
            </w:r>
          </w:p>
        </w:tc>
        <w:tc>
          <w:tcPr>
            <w:tcW w:w="1488" w:type="dxa"/>
          </w:tcPr>
          <w:p w14:paraId="08DE1EF9" w14:textId="77777777" w:rsidR="00ED1B7A" w:rsidRPr="007160F7" w:rsidRDefault="00ED1B7A" w:rsidP="002064A4">
            <w:pPr>
              <w:tabs>
                <w:tab w:val="decimal" w:pos="1202"/>
              </w:tabs>
              <w:rPr>
                <w:sz w:val="20"/>
                <w:szCs w:val="20"/>
              </w:rPr>
            </w:pPr>
            <w:r w:rsidRPr="007160F7">
              <w:rPr>
                <w:sz w:val="20"/>
                <w:szCs w:val="20"/>
              </w:rPr>
              <w:t>2.5 years</w:t>
            </w:r>
          </w:p>
        </w:tc>
        <w:tc>
          <w:tcPr>
            <w:tcW w:w="1488" w:type="dxa"/>
          </w:tcPr>
          <w:p w14:paraId="4C56F10D" w14:textId="77777777" w:rsidR="00ED1B7A" w:rsidRPr="007160F7" w:rsidRDefault="00ED1B7A" w:rsidP="002064A4">
            <w:pPr>
              <w:tabs>
                <w:tab w:val="decimal" w:pos="1202"/>
              </w:tabs>
              <w:rPr>
                <w:sz w:val="20"/>
                <w:szCs w:val="20"/>
              </w:rPr>
            </w:pPr>
            <w:r w:rsidRPr="007160F7">
              <w:rPr>
                <w:sz w:val="20"/>
                <w:szCs w:val="20"/>
              </w:rPr>
              <w:t>2.5 years</w:t>
            </w:r>
          </w:p>
        </w:tc>
      </w:tr>
      <w:tr w:rsidR="00ED1B7A" w:rsidRPr="007160F7" w14:paraId="6B02DF87" w14:textId="77777777" w:rsidTr="002064A4">
        <w:tc>
          <w:tcPr>
            <w:tcW w:w="6090" w:type="dxa"/>
            <w:tcBorders>
              <w:bottom w:val="double" w:sz="4" w:space="0" w:color="auto"/>
            </w:tcBorders>
          </w:tcPr>
          <w:p w14:paraId="1139F824" w14:textId="77777777" w:rsidR="00ED1B7A" w:rsidRPr="007160F7" w:rsidRDefault="00ED1B7A" w:rsidP="002064A4">
            <w:pPr>
              <w:rPr>
                <w:sz w:val="20"/>
                <w:szCs w:val="20"/>
              </w:rPr>
            </w:pPr>
            <w:r w:rsidRPr="007160F7">
              <w:rPr>
                <w:sz w:val="20"/>
                <w:szCs w:val="20"/>
              </w:rPr>
              <w:t>Grant date share price</w:t>
            </w:r>
          </w:p>
        </w:tc>
        <w:tc>
          <w:tcPr>
            <w:tcW w:w="1488" w:type="dxa"/>
            <w:tcBorders>
              <w:bottom w:val="double" w:sz="4" w:space="0" w:color="auto"/>
            </w:tcBorders>
          </w:tcPr>
          <w:p w14:paraId="77F14887" w14:textId="77777777" w:rsidR="00ED1B7A" w:rsidRPr="007160F7" w:rsidRDefault="00ED1B7A" w:rsidP="002064A4">
            <w:pPr>
              <w:tabs>
                <w:tab w:val="left" w:pos="0"/>
                <w:tab w:val="decimal" w:pos="1202"/>
              </w:tabs>
              <w:rPr>
                <w:sz w:val="20"/>
                <w:szCs w:val="20"/>
              </w:rPr>
            </w:pPr>
            <w:r w:rsidRPr="007160F7">
              <w:rPr>
                <w:sz w:val="20"/>
                <w:szCs w:val="20"/>
              </w:rPr>
              <w:t>$</w:t>
            </w:r>
            <w:r w:rsidRPr="007160F7">
              <w:rPr>
                <w:sz w:val="20"/>
                <w:szCs w:val="20"/>
              </w:rPr>
              <w:tab/>
              <w:t>0.32</w:t>
            </w:r>
          </w:p>
        </w:tc>
        <w:tc>
          <w:tcPr>
            <w:tcW w:w="1488" w:type="dxa"/>
            <w:tcBorders>
              <w:bottom w:val="double" w:sz="4" w:space="0" w:color="auto"/>
            </w:tcBorders>
          </w:tcPr>
          <w:p w14:paraId="7E785FDF" w14:textId="77777777" w:rsidR="00ED1B7A" w:rsidRPr="007160F7" w:rsidRDefault="00ED1B7A" w:rsidP="002064A4">
            <w:pPr>
              <w:tabs>
                <w:tab w:val="left" w:pos="0"/>
                <w:tab w:val="decimal" w:pos="1202"/>
              </w:tabs>
              <w:rPr>
                <w:sz w:val="20"/>
                <w:szCs w:val="20"/>
              </w:rPr>
            </w:pPr>
            <w:r w:rsidRPr="007160F7">
              <w:rPr>
                <w:sz w:val="20"/>
                <w:szCs w:val="20"/>
              </w:rPr>
              <w:t>$</w:t>
            </w:r>
            <w:r w:rsidRPr="007160F7">
              <w:rPr>
                <w:sz w:val="20"/>
                <w:szCs w:val="20"/>
              </w:rPr>
              <w:tab/>
              <w:t>0.18</w:t>
            </w:r>
          </w:p>
        </w:tc>
      </w:tr>
      <w:tr w:rsidR="00ED1B7A" w:rsidRPr="007160F7" w14:paraId="145EC060" w14:textId="77777777" w:rsidTr="002064A4">
        <w:tc>
          <w:tcPr>
            <w:tcW w:w="6090" w:type="dxa"/>
            <w:tcBorders>
              <w:top w:val="double" w:sz="4" w:space="0" w:color="auto"/>
            </w:tcBorders>
          </w:tcPr>
          <w:p w14:paraId="68461F13" w14:textId="77777777" w:rsidR="00ED1B7A" w:rsidRPr="007160F7" w:rsidRDefault="00ED1B7A" w:rsidP="002064A4">
            <w:pPr>
              <w:rPr>
                <w:sz w:val="20"/>
                <w:szCs w:val="20"/>
              </w:rPr>
            </w:pPr>
          </w:p>
        </w:tc>
        <w:tc>
          <w:tcPr>
            <w:tcW w:w="1488" w:type="dxa"/>
            <w:tcBorders>
              <w:top w:val="double" w:sz="4" w:space="0" w:color="auto"/>
            </w:tcBorders>
          </w:tcPr>
          <w:p w14:paraId="6522FE6E" w14:textId="77777777" w:rsidR="00ED1B7A" w:rsidRPr="007160F7" w:rsidRDefault="00ED1B7A" w:rsidP="002064A4">
            <w:pPr>
              <w:rPr>
                <w:sz w:val="20"/>
                <w:szCs w:val="20"/>
              </w:rPr>
            </w:pPr>
          </w:p>
        </w:tc>
        <w:tc>
          <w:tcPr>
            <w:tcW w:w="1488" w:type="dxa"/>
            <w:tcBorders>
              <w:top w:val="double" w:sz="4" w:space="0" w:color="auto"/>
            </w:tcBorders>
          </w:tcPr>
          <w:p w14:paraId="0A87BCB2" w14:textId="77777777" w:rsidR="00ED1B7A" w:rsidRPr="007160F7" w:rsidRDefault="00ED1B7A" w:rsidP="002064A4">
            <w:pPr>
              <w:rPr>
                <w:sz w:val="20"/>
                <w:szCs w:val="20"/>
              </w:rPr>
            </w:pPr>
          </w:p>
        </w:tc>
      </w:tr>
    </w:tbl>
    <w:p w14:paraId="1206CFD6" w14:textId="77777777" w:rsidR="00ED1B7A" w:rsidRPr="007160F7" w:rsidRDefault="00ED1B7A" w:rsidP="00ED1B7A">
      <w:pPr>
        <w:ind w:left="284"/>
        <w:jc w:val="both"/>
        <w:rPr>
          <w:sz w:val="20"/>
          <w:szCs w:val="20"/>
        </w:rPr>
      </w:pPr>
      <w:r w:rsidRPr="007160F7">
        <w:rPr>
          <w:sz w:val="20"/>
          <w:szCs w:val="20"/>
        </w:rPr>
        <w:t>Expected volatility was determined based on the historical volatility of Marble’s shares over a period commensurate with the expected option life.  The expected option life incorporates an estimate of early exercise.</w:t>
      </w:r>
    </w:p>
    <w:p w14:paraId="2A5FF79F" w14:textId="77777777" w:rsidR="00ED1B7A" w:rsidRPr="0007463E" w:rsidRDefault="00ED1B7A" w:rsidP="00ED1B7A">
      <w:pPr>
        <w:ind w:left="284"/>
        <w:jc w:val="both"/>
        <w:rPr>
          <w:sz w:val="20"/>
          <w:szCs w:val="20"/>
          <w:highlight w:val="yellow"/>
        </w:rPr>
      </w:pPr>
    </w:p>
    <w:p w14:paraId="3EAB4F0D" w14:textId="0B7D6302" w:rsidR="00ED1B7A" w:rsidRPr="00D243AF" w:rsidRDefault="00ED1B7A" w:rsidP="00ED1B7A">
      <w:pPr>
        <w:ind w:left="284"/>
        <w:jc w:val="both"/>
        <w:rPr>
          <w:sz w:val="20"/>
          <w:szCs w:val="20"/>
        </w:rPr>
      </w:pPr>
      <w:r w:rsidRPr="00D243AF">
        <w:rPr>
          <w:sz w:val="20"/>
          <w:szCs w:val="20"/>
        </w:rPr>
        <w:t xml:space="preserve">For the </w:t>
      </w:r>
      <w:r>
        <w:rPr>
          <w:sz w:val="20"/>
          <w:szCs w:val="20"/>
        </w:rPr>
        <w:t xml:space="preserve">three and </w:t>
      </w:r>
      <w:r w:rsidRPr="00D243AF">
        <w:rPr>
          <w:sz w:val="20"/>
          <w:szCs w:val="20"/>
        </w:rPr>
        <w:t xml:space="preserve">six months ended June 30, 2021, Marble recognized </w:t>
      </w:r>
      <w:r>
        <w:rPr>
          <w:sz w:val="20"/>
          <w:szCs w:val="20"/>
        </w:rPr>
        <w:t xml:space="preserve">$91,918 and </w:t>
      </w:r>
      <w:r w:rsidRPr="00D243AF">
        <w:rPr>
          <w:sz w:val="20"/>
          <w:szCs w:val="20"/>
        </w:rPr>
        <w:t>$</w:t>
      </w:r>
      <w:r w:rsidRPr="00D243AF">
        <w:rPr>
          <w:color w:val="000000"/>
          <w:sz w:val="20"/>
          <w:szCs w:val="20"/>
        </w:rPr>
        <w:t>248,45</w:t>
      </w:r>
      <w:r>
        <w:rPr>
          <w:color w:val="000000"/>
          <w:sz w:val="20"/>
          <w:szCs w:val="20"/>
        </w:rPr>
        <w:t>4</w:t>
      </w:r>
      <w:r w:rsidRPr="00D243AF">
        <w:rPr>
          <w:sz w:val="20"/>
          <w:szCs w:val="20"/>
        </w:rPr>
        <w:t xml:space="preserve"> (2020 - </w:t>
      </w:r>
      <w:r>
        <w:rPr>
          <w:sz w:val="20"/>
          <w:szCs w:val="20"/>
        </w:rPr>
        <w:t xml:space="preserve">$nil and </w:t>
      </w:r>
      <w:r w:rsidRPr="00D243AF">
        <w:rPr>
          <w:sz w:val="20"/>
          <w:szCs w:val="20"/>
        </w:rPr>
        <w:t xml:space="preserve">$65,222) as share-based payments for options vesting during the period. </w:t>
      </w:r>
    </w:p>
    <w:p w14:paraId="79CC35B8" w14:textId="77777777" w:rsidR="00ED1B7A" w:rsidRPr="00D243AF" w:rsidRDefault="00ED1B7A" w:rsidP="00D70116">
      <w:pPr>
        <w:ind w:left="284"/>
        <w:jc w:val="both"/>
        <w:rPr>
          <w:sz w:val="20"/>
          <w:szCs w:val="20"/>
        </w:rPr>
      </w:pPr>
    </w:p>
    <w:p w14:paraId="27B9D56F" w14:textId="792FFCFE" w:rsidR="00D70116" w:rsidRPr="00D243AF" w:rsidRDefault="00D70116" w:rsidP="00D70116">
      <w:pPr>
        <w:ind w:left="284"/>
        <w:jc w:val="both"/>
        <w:rPr>
          <w:sz w:val="20"/>
          <w:szCs w:val="20"/>
        </w:rPr>
      </w:pPr>
      <w:r w:rsidRPr="00D243AF">
        <w:rPr>
          <w:sz w:val="20"/>
          <w:szCs w:val="20"/>
        </w:rPr>
        <w:t>A summary of share purchase option activity is as follows:</w:t>
      </w:r>
    </w:p>
    <w:p w14:paraId="1F3DBED2" w14:textId="77777777" w:rsidR="00D70116" w:rsidRPr="0007463E" w:rsidRDefault="00D70116" w:rsidP="00D70116">
      <w:pPr>
        <w:ind w:left="284"/>
        <w:jc w:val="both"/>
        <w:rPr>
          <w:sz w:val="20"/>
          <w:szCs w:val="20"/>
          <w:highlight w:val="yellow"/>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D70116" w:rsidRPr="00D243AF" w14:paraId="339D0B8B" w14:textId="77777777" w:rsidTr="00E60C9A">
        <w:tc>
          <w:tcPr>
            <w:tcW w:w="6090" w:type="dxa"/>
            <w:tcBorders>
              <w:top w:val="double" w:sz="4" w:space="0" w:color="auto"/>
              <w:bottom w:val="single" w:sz="4" w:space="0" w:color="auto"/>
            </w:tcBorders>
            <w:shd w:val="clear" w:color="auto" w:fill="auto"/>
          </w:tcPr>
          <w:p w14:paraId="1ECE3A4F" w14:textId="77777777" w:rsidR="00D70116" w:rsidRPr="00D243AF" w:rsidRDefault="00D70116" w:rsidP="00E60C9A">
            <w:pPr>
              <w:rPr>
                <w:sz w:val="20"/>
                <w:szCs w:val="20"/>
              </w:rPr>
            </w:pPr>
          </w:p>
        </w:tc>
        <w:tc>
          <w:tcPr>
            <w:tcW w:w="1488" w:type="dxa"/>
            <w:tcBorders>
              <w:top w:val="double" w:sz="4" w:space="0" w:color="auto"/>
              <w:bottom w:val="single" w:sz="4" w:space="0" w:color="auto"/>
            </w:tcBorders>
            <w:shd w:val="clear" w:color="auto" w:fill="auto"/>
          </w:tcPr>
          <w:p w14:paraId="689FAF21" w14:textId="77777777" w:rsidR="00D70116" w:rsidRPr="00D243AF" w:rsidRDefault="00D70116" w:rsidP="00E60C9A">
            <w:pPr>
              <w:tabs>
                <w:tab w:val="decimal" w:pos="1202"/>
              </w:tabs>
              <w:rPr>
                <w:b/>
                <w:bCs/>
                <w:sz w:val="20"/>
                <w:szCs w:val="20"/>
              </w:rPr>
            </w:pPr>
            <w:r w:rsidRPr="00D243AF">
              <w:rPr>
                <w:b/>
                <w:bCs/>
                <w:sz w:val="20"/>
                <w:szCs w:val="20"/>
              </w:rPr>
              <w:t>Number of share purchase options</w:t>
            </w:r>
          </w:p>
        </w:tc>
        <w:tc>
          <w:tcPr>
            <w:tcW w:w="1488" w:type="dxa"/>
            <w:tcBorders>
              <w:top w:val="double" w:sz="4" w:space="0" w:color="auto"/>
              <w:bottom w:val="single" w:sz="4" w:space="0" w:color="auto"/>
            </w:tcBorders>
            <w:shd w:val="clear" w:color="auto" w:fill="auto"/>
          </w:tcPr>
          <w:p w14:paraId="510E7B4D" w14:textId="77777777" w:rsidR="00D70116" w:rsidRPr="00D243AF" w:rsidRDefault="00D70116" w:rsidP="00E60C9A">
            <w:pPr>
              <w:tabs>
                <w:tab w:val="decimal" w:pos="1202"/>
              </w:tabs>
              <w:rPr>
                <w:b/>
                <w:bCs/>
                <w:sz w:val="20"/>
                <w:szCs w:val="20"/>
              </w:rPr>
            </w:pPr>
            <w:r w:rsidRPr="00D243AF">
              <w:rPr>
                <w:b/>
                <w:bCs/>
                <w:sz w:val="20"/>
                <w:szCs w:val="20"/>
              </w:rPr>
              <w:t>Weighted Average Exercise Price</w:t>
            </w:r>
          </w:p>
        </w:tc>
      </w:tr>
      <w:tr w:rsidR="003F1FF8" w:rsidRPr="00D243AF" w14:paraId="3530BFB8" w14:textId="77777777" w:rsidTr="00E60C9A">
        <w:tc>
          <w:tcPr>
            <w:tcW w:w="6090" w:type="dxa"/>
            <w:tcBorders>
              <w:top w:val="single" w:sz="4" w:space="0" w:color="auto"/>
            </w:tcBorders>
            <w:shd w:val="clear" w:color="auto" w:fill="auto"/>
            <w:vAlign w:val="center"/>
          </w:tcPr>
          <w:p w14:paraId="2AD0B3C8" w14:textId="5F50164B" w:rsidR="003F1FF8" w:rsidRPr="00D243AF" w:rsidRDefault="003F1FF8" w:rsidP="003F1FF8">
            <w:pPr>
              <w:rPr>
                <w:sz w:val="20"/>
                <w:szCs w:val="20"/>
              </w:rPr>
            </w:pPr>
            <w:r w:rsidRPr="00D243AF">
              <w:rPr>
                <w:color w:val="000000"/>
                <w:sz w:val="20"/>
                <w:szCs w:val="20"/>
              </w:rPr>
              <w:t>Balance, December 31, 2019</w:t>
            </w:r>
          </w:p>
        </w:tc>
        <w:tc>
          <w:tcPr>
            <w:tcW w:w="1488" w:type="dxa"/>
            <w:tcBorders>
              <w:top w:val="single" w:sz="4" w:space="0" w:color="auto"/>
            </w:tcBorders>
            <w:shd w:val="clear" w:color="auto" w:fill="auto"/>
            <w:vAlign w:val="center"/>
          </w:tcPr>
          <w:p w14:paraId="238DC2CB" w14:textId="1EBCE91A" w:rsidR="003F1FF8" w:rsidRPr="00D243AF" w:rsidRDefault="003F1FF8" w:rsidP="003F1FF8">
            <w:pPr>
              <w:tabs>
                <w:tab w:val="decimal" w:pos="1202"/>
              </w:tabs>
              <w:rPr>
                <w:sz w:val="20"/>
                <w:szCs w:val="20"/>
              </w:rPr>
            </w:pPr>
            <w:r w:rsidRPr="00D243AF">
              <w:rPr>
                <w:color w:val="000000"/>
                <w:sz w:val="20"/>
                <w:szCs w:val="20"/>
              </w:rPr>
              <w:t xml:space="preserve">6,400,000 </w:t>
            </w:r>
          </w:p>
        </w:tc>
        <w:tc>
          <w:tcPr>
            <w:tcW w:w="1488" w:type="dxa"/>
            <w:tcBorders>
              <w:top w:val="single" w:sz="4" w:space="0" w:color="auto"/>
            </w:tcBorders>
            <w:shd w:val="clear" w:color="auto" w:fill="auto"/>
            <w:vAlign w:val="center"/>
          </w:tcPr>
          <w:p w14:paraId="1076B5FF" w14:textId="62CC1CD8" w:rsidR="003F1FF8" w:rsidRPr="00D243AF" w:rsidRDefault="003F1FF8" w:rsidP="003F1FF8">
            <w:pPr>
              <w:tabs>
                <w:tab w:val="left" w:pos="0"/>
                <w:tab w:val="decimal" w:pos="1202"/>
              </w:tabs>
              <w:rPr>
                <w:sz w:val="20"/>
                <w:szCs w:val="20"/>
              </w:rPr>
            </w:pPr>
            <w:r w:rsidRPr="00D243AF">
              <w:rPr>
                <w:color w:val="000000"/>
                <w:sz w:val="20"/>
                <w:szCs w:val="20"/>
              </w:rPr>
              <w:t xml:space="preserve"> $               0.20 </w:t>
            </w:r>
          </w:p>
        </w:tc>
      </w:tr>
      <w:tr w:rsidR="003F1FF8" w:rsidRPr="00D243AF" w14:paraId="6AD006D8" w14:textId="77777777" w:rsidTr="00E60C9A">
        <w:tc>
          <w:tcPr>
            <w:tcW w:w="6090" w:type="dxa"/>
            <w:shd w:val="clear" w:color="auto" w:fill="auto"/>
            <w:vAlign w:val="center"/>
          </w:tcPr>
          <w:p w14:paraId="2A37C5A5" w14:textId="6995996A" w:rsidR="003F1FF8" w:rsidRPr="00D243AF" w:rsidRDefault="003F1FF8" w:rsidP="003F1FF8">
            <w:pPr>
              <w:rPr>
                <w:sz w:val="20"/>
                <w:szCs w:val="20"/>
              </w:rPr>
            </w:pPr>
            <w:r w:rsidRPr="00D243AF">
              <w:rPr>
                <w:color w:val="000000"/>
                <w:sz w:val="20"/>
                <w:szCs w:val="20"/>
              </w:rPr>
              <w:t>Granted</w:t>
            </w:r>
          </w:p>
        </w:tc>
        <w:tc>
          <w:tcPr>
            <w:tcW w:w="1488" w:type="dxa"/>
            <w:shd w:val="clear" w:color="auto" w:fill="auto"/>
            <w:vAlign w:val="center"/>
          </w:tcPr>
          <w:p w14:paraId="38A60F94" w14:textId="32BA89E9" w:rsidR="003F1FF8" w:rsidRPr="00D243AF" w:rsidRDefault="003F1FF8" w:rsidP="003F1FF8">
            <w:pPr>
              <w:tabs>
                <w:tab w:val="decimal" w:pos="1202"/>
              </w:tabs>
              <w:rPr>
                <w:sz w:val="20"/>
                <w:szCs w:val="20"/>
              </w:rPr>
            </w:pPr>
            <w:r w:rsidRPr="00D243AF">
              <w:rPr>
                <w:color w:val="000000"/>
                <w:sz w:val="20"/>
                <w:szCs w:val="20"/>
              </w:rPr>
              <w:t xml:space="preserve">1,500,000 </w:t>
            </w:r>
          </w:p>
        </w:tc>
        <w:tc>
          <w:tcPr>
            <w:tcW w:w="1488" w:type="dxa"/>
            <w:shd w:val="clear" w:color="auto" w:fill="auto"/>
            <w:vAlign w:val="center"/>
          </w:tcPr>
          <w:p w14:paraId="55B062ED" w14:textId="7E5477EA" w:rsidR="003F1FF8" w:rsidRPr="00D243AF" w:rsidRDefault="003F1FF8" w:rsidP="003F1FF8">
            <w:pPr>
              <w:tabs>
                <w:tab w:val="left" w:pos="0"/>
                <w:tab w:val="decimal" w:pos="1202"/>
              </w:tabs>
              <w:rPr>
                <w:sz w:val="20"/>
                <w:szCs w:val="20"/>
              </w:rPr>
            </w:pPr>
            <w:r w:rsidRPr="00D243AF">
              <w:rPr>
                <w:color w:val="000000"/>
                <w:sz w:val="20"/>
                <w:szCs w:val="20"/>
              </w:rPr>
              <w:t xml:space="preserve">                  0.19 </w:t>
            </w:r>
          </w:p>
        </w:tc>
      </w:tr>
      <w:tr w:rsidR="003F1FF8" w:rsidRPr="00D243AF" w14:paraId="0C2D1DF6" w14:textId="77777777" w:rsidTr="00E60C9A">
        <w:tc>
          <w:tcPr>
            <w:tcW w:w="6090" w:type="dxa"/>
            <w:shd w:val="clear" w:color="auto" w:fill="auto"/>
            <w:vAlign w:val="center"/>
          </w:tcPr>
          <w:p w14:paraId="49A38A20" w14:textId="3DE70F6D" w:rsidR="003F1FF8" w:rsidRPr="00D243AF" w:rsidRDefault="003F1FF8" w:rsidP="003F1FF8">
            <w:pPr>
              <w:rPr>
                <w:sz w:val="20"/>
                <w:szCs w:val="20"/>
              </w:rPr>
            </w:pPr>
            <w:r w:rsidRPr="00D243AF">
              <w:rPr>
                <w:color w:val="000000"/>
                <w:sz w:val="20"/>
                <w:szCs w:val="20"/>
              </w:rPr>
              <w:t>Expired / Cancelled</w:t>
            </w:r>
          </w:p>
        </w:tc>
        <w:tc>
          <w:tcPr>
            <w:tcW w:w="1488" w:type="dxa"/>
            <w:shd w:val="clear" w:color="auto" w:fill="auto"/>
            <w:vAlign w:val="center"/>
          </w:tcPr>
          <w:p w14:paraId="21F6B8A1" w14:textId="1FAFC489" w:rsidR="003F1FF8" w:rsidRPr="00D243AF" w:rsidRDefault="003F1FF8" w:rsidP="003F1FF8">
            <w:pPr>
              <w:tabs>
                <w:tab w:val="decimal" w:pos="1202"/>
              </w:tabs>
              <w:rPr>
                <w:sz w:val="20"/>
                <w:szCs w:val="20"/>
              </w:rPr>
            </w:pPr>
            <w:r w:rsidRPr="00D243AF">
              <w:rPr>
                <w:color w:val="000000"/>
                <w:sz w:val="20"/>
                <w:szCs w:val="20"/>
              </w:rPr>
              <w:t>(3,350,000)</w:t>
            </w:r>
          </w:p>
        </w:tc>
        <w:tc>
          <w:tcPr>
            <w:tcW w:w="1488" w:type="dxa"/>
            <w:shd w:val="clear" w:color="auto" w:fill="auto"/>
            <w:vAlign w:val="center"/>
          </w:tcPr>
          <w:p w14:paraId="1115CB83" w14:textId="32583237" w:rsidR="003F1FF8" w:rsidRPr="00D243AF" w:rsidRDefault="003F1FF8" w:rsidP="003F1FF8">
            <w:pPr>
              <w:tabs>
                <w:tab w:val="left" w:pos="0"/>
                <w:tab w:val="decimal" w:pos="1202"/>
              </w:tabs>
              <w:rPr>
                <w:sz w:val="20"/>
                <w:szCs w:val="20"/>
              </w:rPr>
            </w:pPr>
            <w:r w:rsidRPr="00D243AF">
              <w:rPr>
                <w:color w:val="000000"/>
                <w:sz w:val="20"/>
                <w:szCs w:val="20"/>
              </w:rPr>
              <w:t xml:space="preserve">                  0.20 </w:t>
            </w:r>
          </w:p>
        </w:tc>
      </w:tr>
      <w:tr w:rsidR="003F1FF8" w:rsidRPr="00D243AF" w14:paraId="41C39449" w14:textId="77777777" w:rsidTr="00E60C9A">
        <w:tc>
          <w:tcPr>
            <w:tcW w:w="6090" w:type="dxa"/>
            <w:tcBorders>
              <w:top w:val="single" w:sz="4" w:space="0" w:color="auto"/>
            </w:tcBorders>
            <w:shd w:val="clear" w:color="auto" w:fill="auto"/>
            <w:vAlign w:val="center"/>
          </w:tcPr>
          <w:p w14:paraId="39E310C7" w14:textId="2C4EE76E" w:rsidR="003F1FF8" w:rsidRPr="00D243AF" w:rsidRDefault="003F1FF8" w:rsidP="003F1FF8">
            <w:pPr>
              <w:rPr>
                <w:sz w:val="20"/>
                <w:szCs w:val="20"/>
              </w:rPr>
            </w:pPr>
            <w:r w:rsidRPr="00D243AF">
              <w:rPr>
                <w:color w:val="000000"/>
                <w:sz w:val="20"/>
                <w:szCs w:val="20"/>
              </w:rPr>
              <w:t>Balance, December 31, 2020</w:t>
            </w:r>
          </w:p>
        </w:tc>
        <w:tc>
          <w:tcPr>
            <w:tcW w:w="1488" w:type="dxa"/>
            <w:tcBorders>
              <w:top w:val="single" w:sz="4" w:space="0" w:color="auto"/>
            </w:tcBorders>
            <w:shd w:val="clear" w:color="auto" w:fill="auto"/>
            <w:vAlign w:val="center"/>
          </w:tcPr>
          <w:p w14:paraId="570774CA" w14:textId="76701B09" w:rsidR="003F1FF8" w:rsidRPr="00D243AF" w:rsidRDefault="003F1FF8" w:rsidP="003F1FF8">
            <w:pPr>
              <w:tabs>
                <w:tab w:val="decimal" w:pos="1202"/>
              </w:tabs>
              <w:rPr>
                <w:sz w:val="20"/>
                <w:szCs w:val="20"/>
              </w:rPr>
            </w:pPr>
            <w:r w:rsidRPr="00D243AF">
              <w:rPr>
                <w:color w:val="000000"/>
                <w:sz w:val="20"/>
                <w:szCs w:val="20"/>
              </w:rPr>
              <w:t xml:space="preserve">4,550,000 </w:t>
            </w:r>
          </w:p>
        </w:tc>
        <w:tc>
          <w:tcPr>
            <w:tcW w:w="1488" w:type="dxa"/>
            <w:tcBorders>
              <w:top w:val="single" w:sz="4" w:space="0" w:color="auto"/>
            </w:tcBorders>
            <w:shd w:val="clear" w:color="auto" w:fill="auto"/>
            <w:vAlign w:val="center"/>
          </w:tcPr>
          <w:p w14:paraId="541842B2" w14:textId="5BA40867" w:rsidR="003F1FF8" w:rsidRPr="00D243AF" w:rsidRDefault="003F1FF8" w:rsidP="003F1FF8">
            <w:pPr>
              <w:tabs>
                <w:tab w:val="left" w:pos="0"/>
                <w:tab w:val="decimal" w:pos="1202"/>
              </w:tabs>
              <w:rPr>
                <w:sz w:val="20"/>
                <w:szCs w:val="20"/>
              </w:rPr>
            </w:pPr>
            <w:r w:rsidRPr="00D243AF">
              <w:rPr>
                <w:color w:val="000000"/>
                <w:sz w:val="20"/>
                <w:szCs w:val="20"/>
              </w:rPr>
              <w:t xml:space="preserve"> $               0.20 </w:t>
            </w:r>
          </w:p>
        </w:tc>
      </w:tr>
      <w:tr w:rsidR="003F1FF8" w:rsidRPr="00D243AF" w14:paraId="3822386E" w14:textId="77777777" w:rsidTr="00E60C9A">
        <w:tc>
          <w:tcPr>
            <w:tcW w:w="6090" w:type="dxa"/>
            <w:shd w:val="clear" w:color="auto" w:fill="auto"/>
            <w:vAlign w:val="center"/>
          </w:tcPr>
          <w:p w14:paraId="071C8466" w14:textId="2E9A3C11" w:rsidR="003F1FF8" w:rsidRPr="00D243AF" w:rsidRDefault="003F1FF8" w:rsidP="003F1FF8">
            <w:pPr>
              <w:rPr>
                <w:sz w:val="20"/>
                <w:szCs w:val="20"/>
              </w:rPr>
            </w:pPr>
            <w:r w:rsidRPr="00D243AF">
              <w:rPr>
                <w:color w:val="000000"/>
                <w:sz w:val="20"/>
                <w:szCs w:val="20"/>
              </w:rPr>
              <w:t>Granted</w:t>
            </w:r>
          </w:p>
        </w:tc>
        <w:tc>
          <w:tcPr>
            <w:tcW w:w="1488" w:type="dxa"/>
            <w:shd w:val="clear" w:color="auto" w:fill="auto"/>
            <w:vAlign w:val="center"/>
          </w:tcPr>
          <w:p w14:paraId="6C0FE24B" w14:textId="71410EE9" w:rsidR="003F1FF8" w:rsidRPr="00D243AF" w:rsidRDefault="00D243AF" w:rsidP="003F1FF8">
            <w:pPr>
              <w:tabs>
                <w:tab w:val="decimal" w:pos="1202"/>
              </w:tabs>
              <w:rPr>
                <w:sz w:val="20"/>
                <w:szCs w:val="20"/>
              </w:rPr>
            </w:pPr>
            <w:r w:rsidRPr="00D243AF">
              <w:rPr>
                <w:color w:val="000000"/>
                <w:sz w:val="20"/>
                <w:szCs w:val="20"/>
              </w:rPr>
              <w:t>3,360,000</w:t>
            </w:r>
            <w:r w:rsidR="003F1FF8" w:rsidRPr="00D243AF">
              <w:rPr>
                <w:color w:val="000000"/>
                <w:sz w:val="20"/>
                <w:szCs w:val="20"/>
              </w:rPr>
              <w:t xml:space="preserve"> </w:t>
            </w:r>
          </w:p>
        </w:tc>
        <w:tc>
          <w:tcPr>
            <w:tcW w:w="1488" w:type="dxa"/>
            <w:shd w:val="clear" w:color="auto" w:fill="auto"/>
            <w:vAlign w:val="center"/>
          </w:tcPr>
          <w:p w14:paraId="38693BA7" w14:textId="14D02DD9" w:rsidR="003F1FF8" w:rsidRPr="00D243AF" w:rsidRDefault="003F1FF8" w:rsidP="003F1FF8">
            <w:pPr>
              <w:tabs>
                <w:tab w:val="left" w:pos="0"/>
                <w:tab w:val="decimal" w:pos="1202"/>
              </w:tabs>
              <w:rPr>
                <w:sz w:val="20"/>
                <w:szCs w:val="20"/>
              </w:rPr>
            </w:pPr>
            <w:r w:rsidRPr="00D243AF">
              <w:rPr>
                <w:color w:val="000000"/>
                <w:sz w:val="20"/>
                <w:szCs w:val="20"/>
              </w:rPr>
              <w:t xml:space="preserve">                  0.</w:t>
            </w:r>
            <w:r w:rsidR="00D243AF" w:rsidRPr="00D243AF">
              <w:rPr>
                <w:color w:val="000000"/>
                <w:sz w:val="20"/>
                <w:szCs w:val="20"/>
              </w:rPr>
              <w:t>33</w:t>
            </w:r>
            <w:r w:rsidRPr="00D243AF">
              <w:rPr>
                <w:color w:val="000000"/>
                <w:sz w:val="20"/>
                <w:szCs w:val="20"/>
              </w:rPr>
              <w:t xml:space="preserve"> </w:t>
            </w:r>
          </w:p>
        </w:tc>
      </w:tr>
      <w:tr w:rsidR="00D243AF" w:rsidRPr="00D243AF" w14:paraId="37455657" w14:textId="77777777" w:rsidTr="00BA2C24">
        <w:tc>
          <w:tcPr>
            <w:tcW w:w="6090" w:type="dxa"/>
            <w:shd w:val="clear" w:color="auto" w:fill="auto"/>
            <w:vAlign w:val="center"/>
          </w:tcPr>
          <w:p w14:paraId="27DF2750" w14:textId="77777777" w:rsidR="00D243AF" w:rsidRPr="00D243AF" w:rsidRDefault="00D243AF" w:rsidP="00BA2C24">
            <w:pPr>
              <w:rPr>
                <w:sz w:val="20"/>
                <w:szCs w:val="20"/>
              </w:rPr>
            </w:pPr>
            <w:r w:rsidRPr="00D243AF">
              <w:rPr>
                <w:color w:val="000000"/>
                <w:sz w:val="20"/>
                <w:szCs w:val="20"/>
              </w:rPr>
              <w:t>Expired / Cancelled</w:t>
            </w:r>
          </w:p>
        </w:tc>
        <w:tc>
          <w:tcPr>
            <w:tcW w:w="1488" w:type="dxa"/>
            <w:shd w:val="clear" w:color="auto" w:fill="auto"/>
            <w:vAlign w:val="center"/>
          </w:tcPr>
          <w:p w14:paraId="36F3E50E" w14:textId="3DB8A9C9" w:rsidR="00D243AF" w:rsidRPr="00D243AF" w:rsidRDefault="00D243AF" w:rsidP="00BA2C24">
            <w:pPr>
              <w:tabs>
                <w:tab w:val="decimal" w:pos="1202"/>
              </w:tabs>
              <w:rPr>
                <w:sz w:val="20"/>
                <w:szCs w:val="20"/>
              </w:rPr>
            </w:pPr>
            <w:r w:rsidRPr="00D243AF">
              <w:rPr>
                <w:color w:val="000000"/>
                <w:sz w:val="20"/>
                <w:szCs w:val="20"/>
              </w:rPr>
              <w:t>(1,050,000)</w:t>
            </w:r>
          </w:p>
        </w:tc>
        <w:tc>
          <w:tcPr>
            <w:tcW w:w="1488" w:type="dxa"/>
            <w:shd w:val="clear" w:color="auto" w:fill="auto"/>
            <w:vAlign w:val="center"/>
          </w:tcPr>
          <w:p w14:paraId="45A71E61" w14:textId="77777777" w:rsidR="00D243AF" w:rsidRPr="00D243AF" w:rsidRDefault="00D243AF" w:rsidP="00BA2C24">
            <w:pPr>
              <w:tabs>
                <w:tab w:val="left" w:pos="0"/>
                <w:tab w:val="decimal" w:pos="1202"/>
              </w:tabs>
              <w:rPr>
                <w:sz w:val="20"/>
                <w:szCs w:val="20"/>
              </w:rPr>
            </w:pPr>
            <w:r w:rsidRPr="00D243AF">
              <w:rPr>
                <w:color w:val="000000"/>
                <w:sz w:val="20"/>
                <w:szCs w:val="20"/>
              </w:rPr>
              <w:t xml:space="preserve">                  0.20 </w:t>
            </w:r>
          </w:p>
        </w:tc>
      </w:tr>
      <w:tr w:rsidR="003F1FF8" w:rsidRPr="00D243AF" w14:paraId="4124DB52" w14:textId="77777777" w:rsidTr="00E60C9A">
        <w:tc>
          <w:tcPr>
            <w:tcW w:w="6090" w:type="dxa"/>
            <w:tcBorders>
              <w:top w:val="single" w:sz="4" w:space="0" w:color="auto"/>
              <w:bottom w:val="double" w:sz="4" w:space="0" w:color="auto"/>
            </w:tcBorders>
            <w:shd w:val="clear" w:color="auto" w:fill="auto"/>
            <w:vAlign w:val="center"/>
          </w:tcPr>
          <w:p w14:paraId="78D6892B" w14:textId="00AF188A" w:rsidR="003F1FF8" w:rsidRPr="00D243AF" w:rsidRDefault="003F1FF8" w:rsidP="003F1FF8">
            <w:pPr>
              <w:rPr>
                <w:sz w:val="20"/>
                <w:szCs w:val="20"/>
              </w:rPr>
            </w:pPr>
            <w:r w:rsidRPr="00D243AF">
              <w:rPr>
                <w:color w:val="000000"/>
                <w:sz w:val="20"/>
                <w:szCs w:val="20"/>
              </w:rPr>
              <w:lastRenderedPageBreak/>
              <w:t xml:space="preserve">Balance, </w:t>
            </w:r>
            <w:r w:rsidR="00C117D6" w:rsidRPr="00D243AF">
              <w:rPr>
                <w:color w:val="000000"/>
                <w:sz w:val="20"/>
                <w:szCs w:val="20"/>
              </w:rPr>
              <w:t>June 30</w:t>
            </w:r>
            <w:r w:rsidRPr="00D243AF">
              <w:rPr>
                <w:color w:val="000000"/>
                <w:sz w:val="20"/>
                <w:szCs w:val="20"/>
              </w:rPr>
              <w:t xml:space="preserve">, </w:t>
            </w:r>
            <w:r w:rsidR="009E4F3B" w:rsidRPr="00D243AF">
              <w:rPr>
                <w:color w:val="000000"/>
                <w:sz w:val="20"/>
                <w:szCs w:val="20"/>
              </w:rPr>
              <w:t>2021</w:t>
            </w:r>
          </w:p>
        </w:tc>
        <w:tc>
          <w:tcPr>
            <w:tcW w:w="1488" w:type="dxa"/>
            <w:tcBorders>
              <w:top w:val="single" w:sz="4" w:space="0" w:color="auto"/>
              <w:bottom w:val="double" w:sz="4" w:space="0" w:color="auto"/>
            </w:tcBorders>
            <w:shd w:val="clear" w:color="auto" w:fill="auto"/>
            <w:vAlign w:val="center"/>
          </w:tcPr>
          <w:p w14:paraId="59593C5E" w14:textId="4927E256" w:rsidR="003F1FF8" w:rsidRPr="00D243AF" w:rsidRDefault="003F1FF8" w:rsidP="003F1FF8">
            <w:pPr>
              <w:tabs>
                <w:tab w:val="decimal" w:pos="1202"/>
              </w:tabs>
              <w:rPr>
                <w:sz w:val="20"/>
                <w:szCs w:val="20"/>
              </w:rPr>
            </w:pPr>
            <w:r w:rsidRPr="00D243AF">
              <w:rPr>
                <w:color w:val="000000"/>
                <w:sz w:val="20"/>
                <w:szCs w:val="20"/>
              </w:rPr>
              <w:t>6,</w:t>
            </w:r>
            <w:r w:rsidR="00D243AF" w:rsidRPr="00D243AF">
              <w:rPr>
                <w:color w:val="000000"/>
                <w:sz w:val="20"/>
                <w:szCs w:val="20"/>
              </w:rPr>
              <w:t>860</w:t>
            </w:r>
            <w:r w:rsidRPr="00D243AF">
              <w:rPr>
                <w:color w:val="000000"/>
                <w:sz w:val="20"/>
                <w:szCs w:val="20"/>
              </w:rPr>
              <w:t xml:space="preserve">,000 </w:t>
            </w:r>
          </w:p>
        </w:tc>
        <w:tc>
          <w:tcPr>
            <w:tcW w:w="1488" w:type="dxa"/>
            <w:tcBorders>
              <w:top w:val="single" w:sz="4" w:space="0" w:color="auto"/>
              <w:bottom w:val="double" w:sz="4" w:space="0" w:color="auto"/>
            </w:tcBorders>
            <w:shd w:val="clear" w:color="auto" w:fill="auto"/>
            <w:vAlign w:val="center"/>
          </w:tcPr>
          <w:p w14:paraId="4F6DC4D4" w14:textId="7BBA0024" w:rsidR="003F1FF8" w:rsidRPr="00D243AF" w:rsidRDefault="003F1FF8" w:rsidP="003F1FF8">
            <w:pPr>
              <w:tabs>
                <w:tab w:val="left" w:pos="0"/>
                <w:tab w:val="decimal" w:pos="1202"/>
              </w:tabs>
              <w:rPr>
                <w:sz w:val="20"/>
                <w:szCs w:val="20"/>
              </w:rPr>
            </w:pPr>
            <w:r w:rsidRPr="00D243AF">
              <w:rPr>
                <w:color w:val="000000"/>
                <w:sz w:val="20"/>
                <w:szCs w:val="20"/>
              </w:rPr>
              <w:t xml:space="preserve"> $               0.27 </w:t>
            </w:r>
          </w:p>
        </w:tc>
      </w:tr>
      <w:tr w:rsidR="003F1FF8" w:rsidRPr="00D243AF" w14:paraId="5E19A143" w14:textId="77777777" w:rsidTr="00E60C9A">
        <w:tc>
          <w:tcPr>
            <w:tcW w:w="6090" w:type="dxa"/>
            <w:tcBorders>
              <w:top w:val="double" w:sz="4" w:space="0" w:color="auto"/>
              <w:bottom w:val="double" w:sz="4" w:space="0" w:color="auto"/>
            </w:tcBorders>
            <w:shd w:val="clear" w:color="auto" w:fill="auto"/>
            <w:vAlign w:val="center"/>
          </w:tcPr>
          <w:p w14:paraId="3DFEBE9E" w14:textId="1F527911" w:rsidR="003F1FF8" w:rsidRPr="00D243AF" w:rsidRDefault="003F1FF8" w:rsidP="003F1FF8">
            <w:pPr>
              <w:rPr>
                <w:sz w:val="20"/>
                <w:szCs w:val="20"/>
              </w:rPr>
            </w:pPr>
            <w:r w:rsidRPr="00D243AF">
              <w:rPr>
                <w:color w:val="000000"/>
                <w:sz w:val="20"/>
                <w:szCs w:val="20"/>
              </w:rPr>
              <w:t xml:space="preserve">Exercisable, </w:t>
            </w:r>
            <w:r w:rsidR="00C117D6" w:rsidRPr="00D243AF">
              <w:rPr>
                <w:color w:val="000000"/>
                <w:sz w:val="20"/>
                <w:szCs w:val="20"/>
              </w:rPr>
              <w:t>June 30</w:t>
            </w:r>
            <w:r w:rsidRPr="00D243AF">
              <w:rPr>
                <w:color w:val="000000"/>
                <w:sz w:val="20"/>
                <w:szCs w:val="20"/>
              </w:rPr>
              <w:t xml:space="preserve">, </w:t>
            </w:r>
            <w:r w:rsidR="009E4F3B" w:rsidRPr="00D243AF">
              <w:rPr>
                <w:color w:val="000000"/>
                <w:sz w:val="20"/>
                <w:szCs w:val="20"/>
              </w:rPr>
              <w:t>2021</w:t>
            </w:r>
          </w:p>
        </w:tc>
        <w:tc>
          <w:tcPr>
            <w:tcW w:w="1488" w:type="dxa"/>
            <w:tcBorders>
              <w:top w:val="double" w:sz="4" w:space="0" w:color="auto"/>
              <w:bottom w:val="double" w:sz="4" w:space="0" w:color="auto"/>
            </w:tcBorders>
            <w:shd w:val="clear" w:color="auto" w:fill="auto"/>
            <w:vAlign w:val="center"/>
          </w:tcPr>
          <w:p w14:paraId="70E38777" w14:textId="166FCA3A" w:rsidR="003F1FF8" w:rsidRPr="00D243AF" w:rsidRDefault="003F1FF8" w:rsidP="003F1FF8">
            <w:pPr>
              <w:tabs>
                <w:tab w:val="left" w:pos="0"/>
                <w:tab w:val="decimal" w:pos="1202"/>
              </w:tabs>
              <w:rPr>
                <w:sz w:val="20"/>
                <w:szCs w:val="20"/>
              </w:rPr>
            </w:pPr>
            <w:r w:rsidRPr="00D243AF">
              <w:rPr>
                <w:color w:val="000000"/>
                <w:sz w:val="20"/>
                <w:szCs w:val="20"/>
              </w:rPr>
              <w:tab/>
            </w:r>
            <w:r w:rsidR="00D243AF" w:rsidRPr="00D243AF">
              <w:rPr>
                <w:color w:val="000000"/>
                <w:sz w:val="20"/>
                <w:szCs w:val="20"/>
              </w:rPr>
              <w:t>2,708</w:t>
            </w:r>
            <w:r w:rsidRPr="00D243AF">
              <w:rPr>
                <w:color w:val="000000"/>
                <w:sz w:val="20"/>
                <w:szCs w:val="20"/>
              </w:rPr>
              <w:t>,</w:t>
            </w:r>
            <w:r w:rsidR="00D243AF" w:rsidRPr="00D243AF">
              <w:rPr>
                <w:color w:val="000000"/>
                <w:sz w:val="20"/>
                <w:szCs w:val="20"/>
              </w:rPr>
              <w:t>75</w:t>
            </w:r>
            <w:r w:rsidRPr="00D243AF">
              <w:rPr>
                <w:color w:val="000000"/>
                <w:sz w:val="20"/>
                <w:szCs w:val="20"/>
              </w:rPr>
              <w:t xml:space="preserve">0 </w:t>
            </w:r>
          </w:p>
        </w:tc>
        <w:tc>
          <w:tcPr>
            <w:tcW w:w="1488" w:type="dxa"/>
            <w:tcBorders>
              <w:top w:val="double" w:sz="4" w:space="0" w:color="auto"/>
              <w:bottom w:val="double" w:sz="4" w:space="0" w:color="auto"/>
            </w:tcBorders>
            <w:shd w:val="clear" w:color="auto" w:fill="auto"/>
            <w:vAlign w:val="center"/>
          </w:tcPr>
          <w:p w14:paraId="63D0D8CA" w14:textId="7DA917DE" w:rsidR="003F1FF8" w:rsidRPr="00D243AF" w:rsidRDefault="003F1FF8" w:rsidP="003F1FF8">
            <w:pPr>
              <w:tabs>
                <w:tab w:val="left" w:pos="0"/>
                <w:tab w:val="decimal" w:pos="1202"/>
              </w:tabs>
              <w:rPr>
                <w:sz w:val="20"/>
                <w:szCs w:val="20"/>
              </w:rPr>
            </w:pPr>
            <w:r w:rsidRPr="00D243AF">
              <w:rPr>
                <w:color w:val="000000"/>
                <w:sz w:val="20"/>
                <w:szCs w:val="20"/>
              </w:rPr>
              <w:t> </w:t>
            </w:r>
            <w:r w:rsidR="00137FDB" w:rsidRPr="00D243AF">
              <w:rPr>
                <w:color w:val="000000"/>
                <w:sz w:val="20"/>
                <w:szCs w:val="20"/>
              </w:rPr>
              <w:t>$               0.2</w:t>
            </w:r>
            <w:r w:rsidR="00D243AF" w:rsidRPr="00D243AF">
              <w:rPr>
                <w:color w:val="000000"/>
                <w:sz w:val="20"/>
                <w:szCs w:val="20"/>
              </w:rPr>
              <w:t>5</w:t>
            </w:r>
          </w:p>
        </w:tc>
      </w:tr>
    </w:tbl>
    <w:p w14:paraId="45F3CAFA" w14:textId="77777777" w:rsidR="00D70116" w:rsidRPr="00D243AF" w:rsidRDefault="00D70116" w:rsidP="00D70116">
      <w:pPr>
        <w:ind w:left="360"/>
        <w:jc w:val="both"/>
        <w:rPr>
          <w:sz w:val="20"/>
          <w:szCs w:val="20"/>
        </w:rPr>
      </w:pPr>
    </w:p>
    <w:p w14:paraId="1B8770C6" w14:textId="77777777" w:rsidR="00F6491A" w:rsidRDefault="00D70116" w:rsidP="00D70116">
      <w:pPr>
        <w:ind w:left="284"/>
        <w:jc w:val="both"/>
        <w:rPr>
          <w:sz w:val="20"/>
          <w:szCs w:val="20"/>
        </w:rPr>
      </w:pPr>
      <w:r w:rsidRPr="00D243AF">
        <w:rPr>
          <w:sz w:val="20"/>
          <w:szCs w:val="20"/>
        </w:rPr>
        <w:t xml:space="preserve">The weighted average remaining contractual life of the options outstanding as </w:t>
      </w:r>
      <w:proofErr w:type="gramStart"/>
      <w:r w:rsidRPr="00D243AF">
        <w:rPr>
          <w:sz w:val="20"/>
          <w:szCs w:val="20"/>
        </w:rPr>
        <w:t>at</w:t>
      </w:r>
      <w:proofErr w:type="gramEnd"/>
      <w:r w:rsidRPr="00D243AF">
        <w:rPr>
          <w:sz w:val="20"/>
          <w:szCs w:val="20"/>
        </w:rPr>
        <w:t xml:space="preserve"> </w:t>
      </w:r>
      <w:r w:rsidR="00C117D6" w:rsidRPr="00D243AF">
        <w:rPr>
          <w:sz w:val="20"/>
          <w:szCs w:val="20"/>
        </w:rPr>
        <w:t>June 30</w:t>
      </w:r>
      <w:r w:rsidR="003F1FF8" w:rsidRPr="00D243AF">
        <w:rPr>
          <w:sz w:val="20"/>
          <w:szCs w:val="20"/>
        </w:rPr>
        <w:t>, 2021</w:t>
      </w:r>
      <w:r w:rsidRPr="00D243AF">
        <w:rPr>
          <w:sz w:val="20"/>
          <w:szCs w:val="20"/>
        </w:rPr>
        <w:t xml:space="preserve"> is </w:t>
      </w:r>
      <w:r w:rsidR="00D243AF" w:rsidRPr="00D243AF">
        <w:rPr>
          <w:sz w:val="20"/>
          <w:szCs w:val="20"/>
        </w:rPr>
        <w:t>4.04</w:t>
      </w:r>
      <w:r w:rsidRPr="00D243AF">
        <w:rPr>
          <w:sz w:val="20"/>
          <w:szCs w:val="20"/>
        </w:rPr>
        <w:t xml:space="preserve"> years. Details of share purchase options outstanding are as follows:</w:t>
      </w:r>
    </w:p>
    <w:p w14:paraId="7336A5AF" w14:textId="65EA0445" w:rsidR="00F6491A" w:rsidRDefault="00F6491A">
      <w:pPr>
        <w:spacing w:after="160" w:line="259" w:lineRule="auto"/>
        <w:rPr>
          <w:sz w:val="20"/>
          <w:szCs w:val="20"/>
        </w:rPr>
      </w:pPr>
      <w:r>
        <w:rPr>
          <w:sz w:val="20"/>
          <w:szCs w:val="20"/>
        </w:rPr>
        <w:br w:type="page"/>
      </w:r>
    </w:p>
    <w:p w14:paraId="2C423D81" w14:textId="77777777" w:rsidR="00F6491A" w:rsidRDefault="00F6491A" w:rsidP="00835C5B">
      <w:pPr>
        <w:pStyle w:val="ListParagraph"/>
        <w:ind w:left="284"/>
        <w:jc w:val="both"/>
        <w:rPr>
          <w:b/>
          <w:bCs/>
          <w:sz w:val="20"/>
          <w:szCs w:val="20"/>
        </w:rPr>
      </w:pPr>
    </w:p>
    <w:p w14:paraId="6391520C" w14:textId="6036AAC5" w:rsidR="00F6491A" w:rsidRPr="0000179E" w:rsidRDefault="00F6491A" w:rsidP="00F6491A">
      <w:pPr>
        <w:pStyle w:val="ListParagraph"/>
        <w:numPr>
          <w:ilvl w:val="0"/>
          <w:numId w:val="36"/>
        </w:numPr>
        <w:ind w:left="284"/>
        <w:jc w:val="both"/>
        <w:rPr>
          <w:b/>
          <w:bCs/>
          <w:sz w:val="20"/>
          <w:szCs w:val="20"/>
        </w:rPr>
      </w:pPr>
      <w:r w:rsidRPr="0000179E">
        <w:rPr>
          <w:b/>
          <w:bCs/>
          <w:sz w:val="20"/>
          <w:szCs w:val="20"/>
        </w:rPr>
        <w:t xml:space="preserve">SHARE CAPITAL </w:t>
      </w:r>
      <w:r w:rsidRPr="0000179E">
        <w:rPr>
          <w:i/>
          <w:iCs/>
          <w:sz w:val="20"/>
          <w:szCs w:val="20"/>
        </w:rPr>
        <w:t>(cont’d…)</w:t>
      </w:r>
    </w:p>
    <w:p w14:paraId="7F68AFD9" w14:textId="4DA1E1A2" w:rsidR="00D70116" w:rsidRDefault="00D70116" w:rsidP="00D70116">
      <w:pPr>
        <w:ind w:left="284"/>
        <w:jc w:val="both"/>
        <w:rPr>
          <w:sz w:val="20"/>
          <w:szCs w:val="20"/>
        </w:rPr>
      </w:pPr>
    </w:p>
    <w:p w14:paraId="0EE65D62" w14:textId="77777777" w:rsidR="00F6491A" w:rsidRPr="00D243AF" w:rsidRDefault="00F6491A" w:rsidP="00F6491A">
      <w:pPr>
        <w:ind w:left="284"/>
        <w:jc w:val="both"/>
        <w:rPr>
          <w:i/>
          <w:iCs/>
          <w:sz w:val="20"/>
          <w:szCs w:val="20"/>
        </w:rPr>
      </w:pPr>
      <w:r w:rsidRPr="00D243AF">
        <w:rPr>
          <w:b/>
          <w:bCs/>
          <w:sz w:val="20"/>
          <w:szCs w:val="20"/>
        </w:rPr>
        <w:t>Share purchase options</w:t>
      </w:r>
      <w:r w:rsidRPr="00D243AF">
        <w:rPr>
          <w:sz w:val="20"/>
          <w:szCs w:val="20"/>
        </w:rPr>
        <w:t xml:space="preserve"> </w:t>
      </w:r>
      <w:r w:rsidRPr="00D243AF">
        <w:rPr>
          <w:i/>
          <w:iCs/>
          <w:sz w:val="20"/>
          <w:szCs w:val="20"/>
        </w:rPr>
        <w:t>(cont’d…)</w:t>
      </w:r>
    </w:p>
    <w:p w14:paraId="6E2F200D" w14:textId="77777777" w:rsidR="00D70116" w:rsidRPr="0007463E" w:rsidRDefault="00D70116" w:rsidP="00D70116">
      <w:pPr>
        <w:jc w:val="both"/>
        <w:rPr>
          <w:sz w:val="20"/>
          <w:szCs w:val="20"/>
          <w:highlight w:val="yellow"/>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512"/>
        <w:gridCol w:w="1512"/>
        <w:gridCol w:w="1512"/>
      </w:tblGrid>
      <w:tr w:rsidR="00D70116" w:rsidRPr="00D243AF" w14:paraId="76F80CF9" w14:textId="77777777" w:rsidTr="00E60C9A">
        <w:tc>
          <w:tcPr>
            <w:tcW w:w="4536" w:type="dxa"/>
            <w:tcBorders>
              <w:top w:val="double" w:sz="4" w:space="0" w:color="auto"/>
              <w:bottom w:val="single" w:sz="4" w:space="0" w:color="auto"/>
            </w:tcBorders>
          </w:tcPr>
          <w:p w14:paraId="20ED7541" w14:textId="77777777" w:rsidR="00D70116" w:rsidRPr="00D243AF" w:rsidRDefault="00D70116" w:rsidP="00E60C9A">
            <w:pPr>
              <w:rPr>
                <w:b/>
                <w:bCs/>
                <w:sz w:val="20"/>
                <w:szCs w:val="20"/>
              </w:rPr>
            </w:pPr>
            <w:bookmarkStart w:id="9" w:name="_Hlk17120014"/>
          </w:p>
          <w:p w14:paraId="40BFF520" w14:textId="77777777" w:rsidR="00D70116" w:rsidRPr="00D243AF" w:rsidRDefault="00D70116" w:rsidP="00E60C9A">
            <w:pPr>
              <w:rPr>
                <w:sz w:val="20"/>
                <w:szCs w:val="20"/>
              </w:rPr>
            </w:pPr>
            <w:r w:rsidRPr="00D243AF">
              <w:rPr>
                <w:b/>
                <w:bCs/>
                <w:sz w:val="20"/>
                <w:szCs w:val="20"/>
              </w:rPr>
              <w:t>Expiry Date</w:t>
            </w:r>
          </w:p>
        </w:tc>
        <w:tc>
          <w:tcPr>
            <w:tcW w:w="1512" w:type="dxa"/>
            <w:tcBorders>
              <w:top w:val="double" w:sz="4" w:space="0" w:color="auto"/>
              <w:bottom w:val="single" w:sz="4" w:space="0" w:color="auto"/>
            </w:tcBorders>
          </w:tcPr>
          <w:p w14:paraId="6705C744" w14:textId="77777777" w:rsidR="00D70116" w:rsidRPr="00D243AF" w:rsidRDefault="00D70116" w:rsidP="00E60C9A">
            <w:pPr>
              <w:tabs>
                <w:tab w:val="decimal" w:pos="1202"/>
              </w:tabs>
              <w:rPr>
                <w:b/>
                <w:bCs/>
                <w:sz w:val="20"/>
                <w:szCs w:val="20"/>
              </w:rPr>
            </w:pPr>
          </w:p>
          <w:p w14:paraId="63BA5ED5" w14:textId="77777777" w:rsidR="00D70116" w:rsidRPr="00D243AF" w:rsidRDefault="00D70116" w:rsidP="00E60C9A">
            <w:pPr>
              <w:tabs>
                <w:tab w:val="decimal" w:pos="1202"/>
              </w:tabs>
              <w:rPr>
                <w:b/>
                <w:bCs/>
                <w:sz w:val="20"/>
                <w:szCs w:val="20"/>
              </w:rPr>
            </w:pPr>
            <w:r w:rsidRPr="00D243AF">
              <w:rPr>
                <w:b/>
                <w:bCs/>
                <w:sz w:val="20"/>
                <w:szCs w:val="20"/>
              </w:rPr>
              <w:t>Exercise Price</w:t>
            </w:r>
          </w:p>
        </w:tc>
        <w:tc>
          <w:tcPr>
            <w:tcW w:w="1512" w:type="dxa"/>
            <w:tcBorders>
              <w:top w:val="double" w:sz="4" w:space="0" w:color="auto"/>
              <w:bottom w:val="single" w:sz="4" w:space="0" w:color="auto"/>
            </w:tcBorders>
          </w:tcPr>
          <w:p w14:paraId="2819A074" w14:textId="77777777" w:rsidR="00D70116" w:rsidRPr="00D243AF" w:rsidRDefault="00D70116" w:rsidP="00E60C9A">
            <w:pPr>
              <w:tabs>
                <w:tab w:val="decimal" w:pos="1202"/>
              </w:tabs>
              <w:rPr>
                <w:b/>
                <w:bCs/>
                <w:sz w:val="20"/>
                <w:szCs w:val="20"/>
              </w:rPr>
            </w:pPr>
            <w:r w:rsidRPr="00D243AF">
              <w:rPr>
                <w:b/>
                <w:bCs/>
                <w:sz w:val="20"/>
                <w:szCs w:val="20"/>
              </w:rPr>
              <w:t>Number Outstanding</w:t>
            </w:r>
          </w:p>
        </w:tc>
        <w:tc>
          <w:tcPr>
            <w:tcW w:w="1512" w:type="dxa"/>
            <w:tcBorders>
              <w:top w:val="double" w:sz="4" w:space="0" w:color="auto"/>
              <w:bottom w:val="single" w:sz="4" w:space="0" w:color="auto"/>
            </w:tcBorders>
          </w:tcPr>
          <w:p w14:paraId="38AA43CE" w14:textId="77777777" w:rsidR="00D70116" w:rsidRPr="00D243AF" w:rsidRDefault="00D70116" w:rsidP="00E60C9A">
            <w:pPr>
              <w:tabs>
                <w:tab w:val="decimal" w:pos="1202"/>
              </w:tabs>
              <w:rPr>
                <w:b/>
                <w:bCs/>
                <w:sz w:val="20"/>
                <w:szCs w:val="20"/>
              </w:rPr>
            </w:pPr>
            <w:r w:rsidRPr="00D243AF">
              <w:rPr>
                <w:b/>
                <w:bCs/>
                <w:sz w:val="20"/>
                <w:szCs w:val="20"/>
              </w:rPr>
              <w:t>Number Exercisable</w:t>
            </w:r>
          </w:p>
        </w:tc>
      </w:tr>
      <w:tr w:rsidR="003F1FF8" w:rsidRPr="00D243AF" w14:paraId="19587BAF" w14:textId="77777777" w:rsidTr="00E60C9A">
        <w:tc>
          <w:tcPr>
            <w:tcW w:w="4536" w:type="dxa"/>
            <w:vAlign w:val="center"/>
          </w:tcPr>
          <w:p w14:paraId="2516B62D" w14:textId="0183F119" w:rsidR="003F1FF8" w:rsidRPr="00D243AF" w:rsidRDefault="003F1FF8" w:rsidP="003F1FF8">
            <w:pPr>
              <w:rPr>
                <w:sz w:val="20"/>
                <w:szCs w:val="20"/>
              </w:rPr>
            </w:pPr>
            <w:r w:rsidRPr="00D243AF">
              <w:rPr>
                <w:color w:val="000000"/>
                <w:sz w:val="20"/>
                <w:szCs w:val="20"/>
              </w:rPr>
              <w:t>March 20, 2024</w:t>
            </w:r>
          </w:p>
        </w:tc>
        <w:tc>
          <w:tcPr>
            <w:tcW w:w="1512" w:type="dxa"/>
            <w:vAlign w:val="center"/>
          </w:tcPr>
          <w:p w14:paraId="7357B0CA" w14:textId="06C5D98B" w:rsidR="003F1FF8" w:rsidRPr="00D243AF" w:rsidRDefault="003F1FF8" w:rsidP="003F1FF8">
            <w:pPr>
              <w:tabs>
                <w:tab w:val="left" w:pos="0"/>
                <w:tab w:val="decimal" w:pos="1202"/>
              </w:tabs>
              <w:rPr>
                <w:sz w:val="20"/>
                <w:szCs w:val="20"/>
              </w:rPr>
            </w:pPr>
            <w:r w:rsidRPr="00D243AF">
              <w:rPr>
                <w:color w:val="000000"/>
                <w:sz w:val="20"/>
                <w:szCs w:val="20"/>
              </w:rPr>
              <w:t xml:space="preserve"> $              0.20 </w:t>
            </w:r>
          </w:p>
        </w:tc>
        <w:tc>
          <w:tcPr>
            <w:tcW w:w="1512" w:type="dxa"/>
            <w:vAlign w:val="center"/>
          </w:tcPr>
          <w:p w14:paraId="06262A6D" w14:textId="43DD70AB" w:rsidR="003F1FF8" w:rsidRPr="00D243AF" w:rsidRDefault="00D243AF" w:rsidP="003F1FF8">
            <w:pPr>
              <w:tabs>
                <w:tab w:val="left" w:pos="0"/>
                <w:tab w:val="decimal" w:pos="1202"/>
              </w:tabs>
              <w:jc w:val="right"/>
              <w:rPr>
                <w:sz w:val="20"/>
                <w:szCs w:val="20"/>
              </w:rPr>
            </w:pPr>
            <w:r w:rsidRPr="00D243AF">
              <w:rPr>
                <w:color w:val="000000"/>
                <w:sz w:val="20"/>
                <w:szCs w:val="20"/>
              </w:rPr>
              <w:t>1,325</w:t>
            </w:r>
            <w:r w:rsidR="003F1FF8" w:rsidRPr="00D243AF">
              <w:rPr>
                <w:color w:val="000000"/>
                <w:sz w:val="20"/>
                <w:szCs w:val="20"/>
              </w:rPr>
              <w:t>,000</w:t>
            </w:r>
          </w:p>
        </w:tc>
        <w:tc>
          <w:tcPr>
            <w:tcW w:w="1512" w:type="dxa"/>
            <w:vAlign w:val="center"/>
          </w:tcPr>
          <w:p w14:paraId="01364096" w14:textId="6CB9CCA6" w:rsidR="003F1FF8" w:rsidRPr="00D243AF" w:rsidRDefault="00D243AF" w:rsidP="003F1FF8">
            <w:pPr>
              <w:tabs>
                <w:tab w:val="left" w:pos="0"/>
                <w:tab w:val="decimal" w:pos="1202"/>
              </w:tabs>
              <w:jc w:val="right"/>
              <w:rPr>
                <w:sz w:val="20"/>
                <w:szCs w:val="20"/>
              </w:rPr>
            </w:pPr>
            <w:r w:rsidRPr="00D243AF">
              <w:rPr>
                <w:color w:val="000000"/>
                <w:sz w:val="20"/>
                <w:szCs w:val="20"/>
              </w:rPr>
              <w:t>993,750</w:t>
            </w:r>
          </w:p>
        </w:tc>
      </w:tr>
      <w:tr w:rsidR="003F1FF8" w:rsidRPr="00D243AF" w14:paraId="2E0B038C" w14:textId="77777777" w:rsidTr="00E60C9A">
        <w:tc>
          <w:tcPr>
            <w:tcW w:w="4536" w:type="dxa"/>
            <w:vAlign w:val="center"/>
          </w:tcPr>
          <w:p w14:paraId="728D9D19" w14:textId="4B308FBE" w:rsidR="003F1FF8" w:rsidRPr="00D243AF" w:rsidRDefault="003F1FF8" w:rsidP="003F1FF8">
            <w:pPr>
              <w:rPr>
                <w:sz w:val="20"/>
                <w:szCs w:val="20"/>
              </w:rPr>
            </w:pPr>
            <w:r w:rsidRPr="00D243AF">
              <w:rPr>
                <w:color w:val="000000"/>
                <w:sz w:val="20"/>
                <w:szCs w:val="20"/>
              </w:rPr>
              <w:t>September 23, 2024</w:t>
            </w:r>
          </w:p>
        </w:tc>
        <w:tc>
          <w:tcPr>
            <w:tcW w:w="1512" w:type="dxa"/>
            <w:vAlign w:val="center"/>
          </w:tcPr>
          <w:p w14:paraId="3DD0BA16" w14:textId="5CAFA071" w:rsidR="003F1FF8" w:rsidRPr="00D243AF" w:rsidRDefault="003F1FF8" w:rsidP="003F1FF8">
            <w:pPr>
              <w:tabs>
                <w:tab w:val="left" w:pos="0"/>
                <w:tab w:val="decimal" w:pos="1202"/>
              </w:tabs>
              <w:rPr>
                <w:sz w:val="20"/>
                <w:szCs w:val="20"/>
              </w:rPr>
            </w:pPr>
            <w:r w:rsidRPr="00D243AF">
              <w:rPr>
                <w:color w:val="000000"/>
                <w:sz w:val="20"/>
                <w:szCs w:val="20"/>
              </w:rPr>
              <w:t xml:space="preserve"> $              0.25 </w:t>
            </w:r>
          </w:p>
        </w:tc>
        <w:tc>
          <w:tcPr>
            <w:tcW w:w="1512" w:type="dxa"/>
            <w:vAlign w:val="center"/>
          </w:tcPr>
          <w:p w14:paraId="0B7FB2BD" w14:textId="3369D9D3" w:rsidR="003F1FF8" w:rsidRPr="00D243AF" w:rsidRDefault="003F1FF8" w:rsidP="003F1FF8">
            <w:pPr>
              <w:tabs>
                <w:tab w:val="left" w:pos="0"/>
                <w:tab w:val="decimal" w:pos="1202"/>
              </w:tabs>
              <w:jc w:val="right"/>
              <w:rPr>
                <w:sz w:val="20"/>
                <w:szCs w:val="20"/>
              </w:rPr>
            </w:pPr>
            <w:r w:rsidRPr="00D243AF">
              <w:rPr>
                <w:color w:val="000000"/>
                <w:sz w:val="20"/>
                <w:szCs w:val="20"/>
              </w:rPr>
              <w:t>500,000</w:t>
            </w:r>
          </w:p>
        </w:tc>
        <w:tc>
          <w:tcPr>
            <w:tcW w:w="1512" w:type="dxa"/>
            <w:vAlign w:val="center"/>
          </w:tcPr>
          <w:p w14:paraId="3CF8C0D8" w14:textId="7BC14AF6" w:rsidR="003F1FF8" w:rsidRPr="00D243AF" w:rsidRDefault="003F1FF8" w:rsidP="003F1FF8">
            <w:pPr>
              <w:tabs>
                <w:tab w:val="left" w:pos="0"/>
                <w:tab w:val="decimal" w:pos="1202"/>
              </w:tabs>
              <w:jc w:val="right"/>
              <w:rPr>
                <w:sz w:val="20"/>
                <w:szCs w:val="20"/>
              </w:rPr>
            </w:pPr>
            <w:r w:rsidRPr="00D243AF">
              <w:rPr>
                <w:color w:val="000000"/>
                <w:sz w:val="20"/>
                <w:szCs w:val="20"/>
              </w:rPr>
              <w:t>250,000</w:t>
            </w:r>
          </w:p>
        </w:tc>
      </w:tr>
      <w:tr w:rsidR="003F1FF8" w:rsidRPr="00D243AF" w14:paraId="3AC18380" w14:textId="77777777" w:rsidTr="00E60C9A">
        <w:tc>
          <w:tcPr>
            <w:tcW w:w="4536" w:type="dxa"/>
            <w:vAlign w:val="center"/>
          </w:tcPr>
          <w:p w14:paraId="7793ECF8" w14:textId="2CC87B36" w:rsidR="003F1FF8" w:rsidRPr="00D243AF" w:rsidRDefault="003F1FF8" w:rsidP="003F1FF8">
            <w:pPr>
              <w:rPr>
                <w:sz w:val="20"/>
                <w:szCs w:val="20"/>
              </w:rPr>
            </w:pPr>
            <w:r w:rsidRPr="00D243AF">
              <w:rPr>
                <w:color w:val="000000"/>
                <w:sz w:val="20"/>
                <w:szCs w:val="20"/>
              </w:rPr>
              <w:t>November 1, 2024</w:t>
            </w:r>
          </w:p>
        </w:tc>
        <w:tc>
          <w:tcPr>
            <w:tcW w:w="1512" w:type="dxa"/>
            <w:vAlign w:val="center"/>
          </w:tcPr>
          <w:p w14:paraId="00F6E181" w14:textId="796CFF05" w:rsidR="003F1FF8" w:rsidRPr="00D243AF" w:rsidRDefault="003F1FF8" w:rsidP="003F1FF8">
            <w:pPr>
              <w:tabs>
                <w:tab w:val="left" w:pos="0"/>
                <w:tab w:val="decimal" w:pos="1202"/>
              </w:tabs>
              <w:rPr>
                <w:sz w:val="20"/>
                <w:szCs w:val="20"/>
              </w:rPr>
            </w:pPr>
            <w:r w:rsidRPr="00D243AF">
              <w:rPr>
                <w:color w:val="000000"/>
                <w:sz w:val="20"/>
                <w:szCs w:val="20"/>
              </w:rPr>
              <w:t xml:space="preserve"> $              0.21 </w:t>
            </w:r>
          </w:p>
        </w:tc>
        <w:tc>
          <w:tcPr>
            <w:tcW w:w="1512" w:type="dxa"/>
            <w:vAlign w:val="center"/>
          </w:tcPr>
          <w:p w14:paraId="1A35CBA3" w14:textId="0AE7972F" w:rsidR="003F1FF8" w:rsidRPr="00D243AF" w:rsidRDefault="003F1FF8" w:rsidP="003F1FF8">
            <w:pPr>
              <w:tabs>
                <w:tab w:val="left" w:pos="0"/>
                <w:tab w:val="decimal" w:pos="1202"/>
              </w:tabs>
              <w:jc w:val="right"/>
              <w:rPr>
                <w:sz w:val="20"/>
                <w:szCs w:val="20"/>
              </w:rPr>
            </w:pPr>
            <w:r w:rsidRPr="00D243AF">
              <w:rPr>
                <w:color w:val="000000"/>
                <w:sz w:val="20"/>
                <w:szCs w:val="20"/>
              </w:rPr>
              <w:t>175,000</w:t>
            </w:r>
          </w:p>
        </w:tc>
        <w:tc>
          <w:tcPr>
            <w:tcW w:w="1512" w:type="dxa"/>
            <w:vAlign w:val="center"/>
          </w:tcPr>
          <w:p w14:paraId="1CD1E16B" w14:textId="11F531DB" w:rsidR="003F1FF8" w:rsidRPr="00D243AF" w:rsidRDefault="003F1FF8" w:rsidP="003F1FF8">
            <w:pPr>
              <w:tabs>
                <w:tab w:val="left" w:pos="0"/>
                <w:tab w:val="decimal" w:pos="1202"/>
              </w:tabs>
              <w:jc w:val="right"/>
              <w:rPr>
                <w:sz w:val="20"/>
                <w:szCs w:val="20"/>
              </w:rPr>
            </w:pPr>
            <w:r w:rsidRPr="00D243AF">
              <w:rPr>
                <w:color w:val="000000"/>
                <w:sz w:val="20"/>
                <w:szCs w:val="20"/>
              </w:rPr>
              <w:t>87,500</w:t>
            </w:r>
          </w:p>
        </w:tc>
      </w:tr>
      <w:tr w:rsidR="003F1FF8" w:rsidRPr="00D243AF" w14:paraId="7B91C9FD" w14:textId="77777777" w:rsidTr="00E60C9A">
        <w:tc>
          <w:tcPr>
            <w:tcW w:w="4536" w:type="dxa"/>
            <w:vAlign w:val="center"/>
          </w:tcPr>
          <w:p w14:paraId="2CDE9B7B" w14:textId="7D89A7C0" w:rsidR="003F1FF8" w:rsidRPr="00D243AF" w:rsidRDefault="003F1FF8" w:rsidP="003F1FF8">
            <w:pPr>
              <w:rPr>
                <w:sz w:val="20"/>
                <w:szCs w:val="20"/>
              </w:rPr>
            </w:pPr>
            <w:r w:rsidRPr="00D243AF">
              <w:rPr>
                <w:color w:val="000000"/>
                <w:sz w:val="20"/>
                <w:szCs w:val="20"/>
              </w:rPr>
              <w:t>December 3, 2024</w:t>
            </w:r>
          </w:p>
        </w:tc>
        <w:tc>
          <w:tcPr>
            <w:tcW w:w="1512" w:type="dxa"/>
            <w:vAlign w:val="center"/>
          </w:tcPr>
          <w:p w14:paraId="72FF94E6" w14:textId="6B87239C" w:rsidR="003F1FF8" w:rsidRPr="00D243AF" w:rsidRDefault="003F1FF8" w:rsidP="003F1FF8">
            <w:pPr>
              <w:tabs>
                <w:tab w:val="left" w:pos="0"/>
                <w:tab w:val="decimal" w:pos="1202"/>
              </w:tabs>
              <w:rPr>
                <w:sz w:val="20"/>
                <w:szCs w:val="20"/>
              </w:rPr>
            </w:pPr>
            <w:r w:rsidRPr="00D243AF">
              <w:rPr>
                <w:color w:val="000000"/>
                <w:sz w:val="20"/>
                <w:szCs w:val="20"/>
              </w:rPr>
              <w:t xml:space="preserve"> $              0.21 </w:t>
            </w:r>
          </w:p>
        </w:tc>
        <w:tc>
          <w:tcPr>
            <w:tcW w:w="1512" w:type="dxa"/>
            <w:vAlign w:val="center"/>
          </w:tcPr>
          <w:p w14:paraId="520025E1" w14:textId="2A40D906" w:rsidR="003F1FF8" w:rsidRPr="00D243AF" w:rsidRDefault="003F1FF8" w:rsidP="003F1FF8">
            <w:pPr>
              <w:tabs>
                <w:tab w:val="left" w:pos="0"/>
                <w:tab w:val="decimal" w:pos="1202"/>
              </w:tabs>
              <w:jc w:val="right"/>
              <w:rPr>
                <w:sz w:val="20"/>
                <w:szCs w:val="20"/>
              </w:rPr>
            </w:pPr>
            <w:r w:rsidRPr="00D243AF">
              <w:rPr>
                <w:color w:val="000000"/>
                <w:sz w:val="20"/>
                <w:szCs w:val="20"/>
              </w:rPr>
              <w:t>250,000</w:t>
            </w:r>
          </w:p>
        </w:tc>
        <w:tc>
          <w:tcPr>
            <w:tcW w:w="1512" w:type="dxa"/>
            <w:vAlign w:val="center"/>
          </w:tcPr>
          <w:p w14:paraId="6AB9F8FC" w14:textId="6ADFF2B0" w:rsidR="003F1FF8" w:rsidRPr="00D243AF" w:rsidRDefault="003F1FF8" w:rsidP="003F1FF8">
            <w:pPr>
              <w:tabs>
                <w:tab w:val="left" w:pos="0"/>
                <w:tab w:val="decimal" w:pos="1202"/>
              </w:tabs>
              <w:jc w:val="right"/>
              <w:rPr>
                <w:sz w:val="20"/>
                <w:szCs w:val="20"/>
              </w:rPr>
            </w:pPr>
            <w:r w:rsidRPr="00D243AF">
              <w:rPr>
                <w:color w:val="000000"/>
                <w:sz w:val="20"/>
                <w:szCs w:val="20"/>
              </w:rPr>
              <w:t>125,000</w:t>
            </w:r>
          </w:p>
        </w:tc>
      </w:tr>
      <w:tr w:rsidR="003F1FF8" w:rsidRPr="00D243AF" w14:paraId="79E5C521" w14:textId="77777777" w:rsidTr="00E60C9A">
        <w:tc>
          <w:tcPr>
            <w:tcW w:w="4536" w:type="dxa"/>
            <w:shd w:val="clear" w:color="auto" w:fill="auto"/>
            <w:vAlign w:val="center"/>
          </w:tcPr>
          <w:p w14:paraId="22FEE513" w14:textId="7884E097" w:rsidR="003F1FF8" w:rsidRPr="00D243AF" w:rsidRDefault="003F1FF8" w:rsidP="003F1FF8">
            <w:pPr>
              <w:rPr>
                <w:sz w:val="20"/>
                <w:szCs w:val="20"/>
              </w:rPr>
            </w:pPr>
            <w:r w:rsidRPr="00D243AF">
              <w:rPr>
                <w:color w:val="000000"/>
                <w:sz w:val="20"/>
                <w:szCs w:val="20"/>
              </w:rPr>
              <w:t>December 30, 2024</w:t>
            </w:r>
          </w:p>
        </w:tc>
        <w:tc>
          <w:tcPr>
            <w:tcW w:w="1512" w:type="dxa"/>
            <w:shd w:val="clear" w:color="auto" w:fill="auto"/>
            <w:vAlign w:val="center"/>
          </w:tcPr>
          <w:p w14:paraId="27A6CE9D" w14:textId="1C9B0A36" w:rsidR="003F1FF8" w:rsidRPr="00D243AF" w:rsidRDefault="003F1FF8" w:rsidP="003F1FF8">
            <w:pPr>
              <w:tabs>
                <w:tab w:val="left" w:pos="0"/>
                <w:tab w:val="decimal" w:pos="1202"/>
              </w:tabs>
              <w:rPr>
                <w:sz w:val="20"/>
                <w:szCs w:val="20"/>
              </w:rPr>
            </w:pPr>
            <w:r w:rsidRPr="00D243AF">
              <w:rPr>
                <w:color w:val="000000"/>
                <w:sz w:val="20"/>
                <w:szCs w:val="20"/>
              </w:rPr>
              <w:t xml:space="preserve"> $              0.20 </w:t>
            </w:r>
          </w:p>
        </w:tc>
        <w:tc>
          <w:tcPr>
            <w:tcW w:w="1512" w:type="dxa"/>
            <w:shd w:val="clear" w:color="auto" w:fill="auto"/>
            <w:vAlign w:val="center"/>
          </w:tcPr>
          <w:p w14:paraId="4551262A" w14:textId="6CAE82ED" w:rsidR="003F1FF8" w:rsidRPr="00D243AF" w:rsidRDefault="003F1FF8" w:rsidP="003F1FF8">
            <w:pPr>
              <w:tabs>
                <w:tab w:val="left" w:pos="0"/>
                <w:tab w:val="decimal" w:pos="1202"/>
              </w:tabs>
              <w:jc w:val="right"/>
              <w:rPr>
                <w:sz w:val="20"/>
                <w:szCs w:val="20"/>
              </w:rPr>
            </w:pPr>
            <w:r w:rsidRPr="00D243AF">
              <w:rPr>
                <w:color w:val="000000"/>
                <w:sz w:val="20"/>
                <w:szCs w:val="20"/>
              </w:rPr>
              <w:t>100,000</w:t>
            </w:r>
          </w:p>
        </w:tc>
        <w:tc>
          <w:tcPr>
            <w:tcW w:w="1512" w:type="dxa"/>
            <w:shd w:val="clear" w:color="auto" w:fill="auto"/>
            <w:vAlign w:val="center"/>
          </w:tcPr>
          <w:p w14:paraId="5531FDE3" w14:textId="5873D70A" w:rsidR="003F1FF8" w:rsidRPr="00D243AF" w:rsidRDefault="003F1FF8" w:rsidP="003F1FF8">
            <w:pPr>
              <w:tabs>
                <w:tab w:val="left" w:pos="0"/>
                <w:tab w:val="decimal" w:pos="1202"/>
              </w:tabs>
              <w:jc w:val="right"/>
              <w:rPr>
                <w:sz w:val="20"/>
                <w:szCs w:val="20"/>
              </w:rPr>
            </w:pPr>
            <w:r w:rsidRPr="00D243AF">
              <w:rPr>
                <w:color w:val="000000"/>
                <w:sz w:val="20"/>
                <w:szCs w:val="20"/>
              </w:rPr>
              <w:t>50,000</w:t>
            </w:r>
          </w:p>
        </w:tc>
      </w:tr>
      <w:tr w:rsidR="003F1FF8" w:rsidRPr="00D243AF" w14:paraId="7873E605" w14:textId="77777777" w:rsidTr="00E60C9A">
        <w:tc>
          <w:tcPr>
            <w:tcW w:w="4536" w:type="dxa"/>
            <w:vAlign w:val="center"/>
          </w:tcPr>
          <w:p w14:paraId="7EC870C1" w14:textId="1C29FC4C" w:rsidR="003F1FF8" w:rsidRPr="00D243AF" w:rsidRDefault="003F1FF8" w:rsidP="003F1FF8">
            <w:pPr>
              <w:rPr>
                <w:sz w:val="20"/>
                <w:szCs w:val="20"/>
              </w:rPr>
            </w:pPr>
            <w:r w:rsidRPr="00D243AF">
              <w:rPr>
                <w:color w:val="000000"/>
                <w:sz w:val="20"/>
                <w:szCs w:val="20"/>
              </w:rPr>
              <w:t>January 23, 2025</w:t>
            </w:r>
          </w:p>
        </w:tc>
        <w:tc>
          <w:tcPr>
            <w:tcW w:w="1512" w:type="dxa"/>
            <w:vAlign w:val="center"/>
          </w:tcPr>
          <w:p w14:paraId="6A9AA05C" w14:textId="755373EF" w:rsidR="003F1FF8" w:rsidRPr="00D243AF" w:rsidRDefault="003F1FF8" w:rsidP="003F1FF8">
            <w:pPr>
              <w:tabs>
                <w:tab w:val="left" w:pos="0"/>
                <w:tab w:val="decimal" w:pos="1202"/>
              </w:tabs>
              <w:rPr>
                <w:sz w:val="20"/>
                <w:szCs w:val="20"/>
              </w:rPr>
            </w:pPr>
            <w:r w:rsidRPr="00D243AF">
              <w:rPr>
                <w:color w:val="000000"/>
                <w:sz w:val="20"/>
                <w:szCs w:val="20"/>
              </w:rPr>
              <w:t xml:space="preserve"> $              0.20 </w:t>
            </w:r>
          </w:p>
        </w:tc>
        <w:tc>
          <w:tcPr>
            <w:tcW w:w="1512" w:type="dxa"/>
            <w:vAlign w:val="center"/>
          </w:tcPr>
          <w:p w14:paraId="4906DA30" w14:textId="3E7641BE" w:rsidR="003F1FF8" w:rsidRPr="00D243AF" w:rsidRDefault="003F1FF8" w:rsidP="003F1FF8">
            <w:pPr>
              <w:tabs>
                <w:tab w:val="left" w:pos="0"/>
                <w:tab w:val="decimal" w:pos="1202"/>
              </w:tabs>
              <w:jc w:val="right"/>
              <w:rPr>
                <w:sz w:val="20"/>
                <w:szCs w:val="20"/>
              </w:rPr>
            </w:pPr>
            <w:r w:rsidRPr="00D243AF">
              <w:rPr>
                <w:color w:val="000000"/>
                <w:sz w:val="20"/>
                <w:szCs w:val="20"/>
              </w:rPr>
              <w:t>100,000</w:t>
            </w:r>
          </w:p>
        </w:tc>
        <w:tc>
          <w:tcPr>
            <w:tcW w:w="1512" w:type="dxa"/>
            <w:vAlign w:val="center"/>
          </w:tcPr>
          <w:p w14:paraId="26ED4B71" w14:textId="74B6D17F" w:rsidR="003F1FF8" w:rsidRPr="00D243AF" w:rsidRDefault="003F1FF8" w:rsidP="003F1FF8">
            <w:pPr>
              <w:tabs>
                <w:tab w:val="left" w:pos="0"/>
                <w:tab w:val="decimal" w:pos="1202"/>
              </w:tabs>
              <w:jc w:val="right"/>
              <w:rPr>
                <w:sz w:val="20"/>
                <w:szCs w:val="20"/>
              </w:rPr>
            </w:pPr>
            <w:r w:rsidRPr="00D243AF">
              <w:rPr>
                <w:color w:val="000000"/>
                <w:sz w:val="20"/>
                <w:szCs w:val="20"/>
              </w:rPr>
              <w:t>50,000</w:t>
            </w:r>
          </w:p>
        </w:tc>
      </w:tr>
      <w:tr w:rsidR="003F1FF8" w:rsidRPr="00D243AF" w14:paraId="099531C8" w14:textId="77777777" w:rsidTr="00E60C9A">
        <w:tc>
          <w:tcPr>
            <w:tcW w:w="4536" w:type="dxa"/>
            <w:vAlign w:val="center"/>
          </w:tcPr>
          <w:p w14:paraId="114C41F5" w14:textId="28A758DC" w:rsidR="003F1FF8" w:rsidRPr="00D243AF" w:rsidRDefault="003F1FF8" w:rsidP="003F1FF8">
            <w:pPr>
              <w:rPr>
                <w:sz w:val="20"/>
                <w:szCs w:val="20"/>
              </w:rPr>
            </w:pPr>
            <w:r w:rsidRPr="00D243AF">
              <w:rPr>
                <w:color w:val="000000"/>
                <w:sz w:val="20"/>
                <w:szCs w:val="20"/>
              </w:rPr>
              <w:t>February 6, 2025</w:t>
            </w:r>
          </w:p>
        </w:tc>
        <w:tc>
          <w:tcPr>
            <w:tcW w:w="1512" w:type="dxa"/>
            <w:vAlign w:val="center"/>
          </w:tcPr>
          <w:p w14:paraId="358B1C76" w14:textId="3ECFDE4A" w:rsidR="003F1FF8" w:rsidRPr="00D243AF" w:rsidRDefault="003F1FF8" w:rsidP="003F1FF8">
            <w:pPr>
              <w:tabs>
                <w:tab w:val="left" w:pos="0"/>
                <w:tab w:val="decimal" w:pos="1202"/>
              </w:tabs>
              <w:rPr>
                <w:sz w:val="20"/>
                <w:szCs w:val="20"/>
              </w:rPr>
            </w:pPr>
            <w:r w:rsidRPr="00D243AF">
              <w:rPr>
                <w:color w:val="000000"/>
                <w:sz w:val="20"/>
                <w:szCs w:val="20"/>
              </w:rPr>
              <w:t xml:space="preserve"> $              0.19 </w:t>
            </w:r>
          </w:p>
        </w:tc>
        <w:tc>
          <w:tcPr>
            <w:tcW w:w="1512" w:type="dxa"/>
            <w:vAlign w:val="center"/>
          </w:tcPr>
          <w:p w14:paraId="34CFA725" w14:textId="6BF798F8" w:rsidR="003F1FF8" w:rsidRPr="00D243AF" w:rsidRDefault="003F1FF8" w:rsidP="003F1FF8">
            <w:pPr>
              <w:tabs>
                <w:tab w:val="left" w:pos="0"/>
                <w:tab w:val="decimal" w:pos="1202"/>
              </w:tabs>
              <w:jc w:val="right"/>
              <w:rPr>
                <w:sz w:val="20"/>
                <w:szCs w:val="20"/>
              </w:rPr>
            </w:pPr>
            <w:r w:rsidRPr="00D243AF">
              <w:rPr>
                <w:color w:val="000000"/>
                <w:sz w:val="20"/>
                <w:szCs w:val="20"/>
              </w:rPr>
              <w:t>100,000</w:t>
            </w:r>
          </w:p>
        </w:tc>
        <w:tc>
          <w:tcPr>
            <w:tcW w:w="1512" w:type="dxa"/>
            <w:vAlign w:val="center"/>
          </w:tcPr>
          <w:p w14:paraId="1D4C0CD6" w14:textId="65E13E27" w:rsidR="003F1FF8" w:rsidRPr="00D243AF" w:rsidRDefault="003F1FF8" w:rsidP="003F1FF8">
            <w:pPr>
              <w:tabs>
                <w:tab w:val="left" w:pos="0"/>
                <w:tab w:val="decimal" w:pos="1202"/>
              </w:tabs>
              <w:jc w:val="right"/>
              <w:rPr>
                <w:sz w:val="20"/>
                <w:szCs w:val="20"/>
              </w:rPr>
            </w:pPr>
            <w:r w:rsidRPr="00D243AF">
              <w:rPr>
                <w:color w:val="000000"/>
                <w:sz w:val="20"/>
                <w:szCs w:val="20"/>
              </w:rPr>
              <w:t>50,000</w:t>
            </w:r>
          </w:p>
        </w:tc>
      </w:tr>
      <w:tr w:rsidR="003F1FF8" w:rsidRPr="00D243AF" w14:paraId="0D28982D" w14:textId="77777777" w:rsidTr="00E60C9A">
        <w:tc>
          <w:tcPr>
            <w:tcW w:w="4536" w:type="dxa"/>
            <w:vAlign w:val="center"/>
          </w:tcPr>
          <w:p w14:paraId="3BA3766F" w14:textId="6692F69F" w:rsidR="003F1FF8" w:rsidRPr="00D243AF" w:rsidRDefault="003F1FF8" w:rsidP="003F1FF8">
            <w:pPr>
              <w:rPr>
                <w:sz w:val="20"/>
                <w:szCs w:val="20"/>
              </w:rPr>
            </w:pPr>
            <w:r w:rsidRPr="00D243AF">
              <w:rPr>
                <w:color w:val="000000"/>
                <w:sz w:val="20"/>
                <w:szCs w:val="20"/>
              </w:rPr>
              <w:t>March 2, 2025</w:t>
            </w:r>
          </w:p>
        </w:tc>
        <w:tc>
          <w:tcPr>
            <w:tcW w:w="1512" w:type="dxa"/>
            <w:vAlign w:val="center"/>
          </w:tcPr>
          <w:p w14:paraId="090363AF" w14:textId="43DA7FC4" w:rsidR="003F1FF8" w:rsidRPr="00D243AF" w:rsidRDefault="003F1FF8" w:rsidP="003F1FF8">
            <w:pPr>
              <w:tabs>
                <w:tab w:val="left" w:pos="0"/>
                <w:tab w:val="decimal" w:pos="1202"/>
              </w:tabs>
              <w:rPr>
                <w:sz w:val="20"/>
                <w:szCs w:val="20"/>
              </w:rPr>
            </w:pPr>
            <w:r w:rsidRPr="00D243AF">
              <w:rPr>
                <w:color w:val="000000"/>
                <w:sz w:val="20"/>
                <w:szCs w:val="20"/>
              </w:rPr>
              <w:t xml:space="preserve"> $              0.19 </w:t>
            </w:r>
          </w:p>
        </w:tc>
        <w:tc>
          <w:tcPr>
            <w:tcW w:w="1512" w:type="dxa"/>
            <w:vAlign w:val="center"/>
          </w:tcPr>
          <w:p w14:paraId="6213DE81" w14:textId="1642B720" w:rsidR="003F1FF8" w:rsidRPr="00D243AF" w:rsidRDefault="003F1FF8" w:rsidP="003F1FF8">
            <w:pPr>
              <w:tabs>
                <w:tab w:val="left" w:pos="0"/>
                <w:tab w:val="decimal" w:pos="1202"/>
              </w:tabs>
              <w:jc w:val="right"/>
              <w:rPr>
                <w:sz w:val="20"/>
                <w:szCs w:val="20"/>
              </w:rPr>
            </w:pPr>
            <w:r w:rsidRPr="00D243AF">
              <w:rPr>
                <w:color w:val="000000"/>
                <w:sz w:val="20"/>
                <w:szCs w:val="20"/>
              </w:rPr>
              <w:t>100,000</w:t>
            </w:r>
          </w:p>
        </w:tc>
        <w:tc>
          <w:tcPr>
            <w:tcW w:w="1512" w:type="dxa"/>
            <w:vAlign w:val="center"/>
          </w:tcPr>
          <w:p w14:paraId="2F4BE1F7" w14:textId="5107037C" w:rsidR="003F1FF8" w:rsidRPr="00D243AF" w:rsidRDefault="003F1FF8" w:rsidP="003F1FF8">
            <w:pPr>
              <w:tabs>
                <w:tab w:val="left" w:pos="0"/>
                <w:tab w:val="decimal" w:pos="1202"/>
              </w:tabs>
              <w:jc w:val="right"/>
              <w:rPr>
                <w:sz w:val="20"/>
                <w:szCs w:val="20"/>
              </w:rPr>
            </w:pPr>
            <w:r w:rsidRPr="00D243AF">
              <w:rPr>
                <w:color w:val="000000"/>
                <w:sz w:val="20"/>
                <w:szCs w:val="20"/>
              </w:rPr>
              <w:t>50,000</w:t>
            </w:r>
          </w:p>
        </w:tc>
      </w:tr>
      <w:tr w:rsidR="003F1FF8" w:rsidRPr="00D243AF" w14:paraId="71E9E929" w14:textId="77777777" w:rsidTr="00E60C9A">
        <w:tc>
          <w:tcPr>
            <w:tcW w:w="4536" w:type="dxa"/>
            <w:vAlign w:val="center"/>
          </w:tcPr>
          <w:p w14:paraId="6962A8D9" w14:textId="014D4943" w:rsidR="003F1FF8" w:rsidRPr="00D243AF" w:rsidRDefault="003F1FF8" w:rsidP="003F1FF8">
            <w:pPr>
              <w:rPr>
                <w:sz w:val="20"/>
                <w:szCs w:val="20"/>
              </w:rPr>
            </w:pPr>
            <w:r w:rsidRPr="00D243AF">
              <w:rPr>
                <w:color w:val="000000"/>
                <w:sz w:val="20"/>
                <w:szCs w:val="20"/>
              </w:rPr>
              <w:t>October 15, 2025</w:t>
            </w:r>
          </w:p>
        </w:tc>
        <w:tc>
          <w:tcPr>
            <w:tcW w:w="1512" w:type="dxa"/>
            <w:vAlign w:val="center"/>
          </w:tcPr>
          <w:p w14:paraId="08F47702" w14:textId="2716991D" w:rsidR="003F1FF8" w:rsidRPr="00D243AF" w:rsidRDefault="003F1FF8" w:rsidP="003F1FF8">
            <w:pPr>
              <w:tabs>
                <w:tab w:val="left" w:pos="0"/>
                <w:tab w:val="decimal" w:pos="1202"/>
              </w:tabs>
              <w:rPr>
                <w:sz w:val="20"/>
                <w:szCs w:val="20"/>
              </w:rPr>
            </w:pPr>
            <w:r w:rsidRPr="00D243AF">
              <w:rPr>
                <w:color w:val="000000"/>
                <w:sz w:val="20"/>
                <w:szCs w:val="20"/>
              </w:rPr>
              <w:t xml:space="preserve"> $              0.16 </w:t>
            </w:r>
          </w:p>
        </w:tc>
        <w:tc>
          <w:tcPr>
            <w:tcW w:w="1512" w:type="dxa"/>
            <w:vAlign w:val="center"/>
          </w:tcPr>
          <w:p w14:paraId="258649F7" w14:textId="0403A4DA" w:rsidR="003F1FF8" w:rsidRPr="00D243AF" w:rsidRDefault="003F1FF8" w:rsidP="003F1FF8">
            <w:pPr>
              <w:tabs>
                <w:tab w:val="left" w:pos="0"/>
                <w:tab w:val="decimal" w:pos="1202"/>
              </w:tabs>
              <w:jc w:val="right"/>
              <w:rPr>
                <w:sz w:val="20"/>
                <w:szCs w:val="20"/>
              </w:rPr>
            </w:pPr>
            <w:r w:rsidRPr="00D243AF">
              <w:rPr>
                <w:color w:val="000000"/>
                <w:sz w:val="20"/>
                <w:szCs w:val="20"/>
              </w:rPr>
              <w:t>100,000</w:t>
            </w:r>
          </w:p>
        </w:tc>
        <w:tc>
          <w:tcPr>
            <w:tcW w:w="1512" w:type="dxa"/>
            <w:vAlign w:val="center"/>
          </w:tcPr>
          <w:p w14:paraId="2BD05216" w14:textId="6BC74829" w:rsidR="003F1FF8" w:rsidRPr="00D243AF" w:rsidRDefault="003F1FF8" w:rsidP="003F1FF8">
            <w:pPr>
              <w:tabs>
                <w:tab w:val="left" w:pos="0"/>
                <w:tab w:val="decimal" w:pos="1202"/>
              </w:tabs>
              <w:jc w:val="right"/>
              <w:rPr>
                <w:sz w:val="20"/>
                <w:szCs w:val="20"/>
              </w:rPr>
            </w:pPr>
            <w:r w:rsidRPr="00D243AF">
              <w:rPr>
                <w:color w:val="000000"/>
                <w:sz w:val="20"/>
                <w:szCs w:val="20"/>
              </w:rPr>
              <w:t>25,000</w:t>
            </w:r>
          </w:p>
        </w:tc>
      </w:tr>
      <w:tr w:rsidR="003F1FF8" w:rsidRPr="00D243AF" w14:paraId="0E9476BB" w14:textId="77777777" w:rsidTr="00E60C9A">
        <w:tc>
          <w:tcPr>
            <w:tcW w:w="4536" w:type="dxa"/>
            <w:vAlign w:val="center"/>
          </w:tcPr>
          <w:p w14:paraId="35A2BB90" w14:textId="5C3B92AD" w:rsidR="003F1FF8" w:rsidRPr="00D243AF" w:rsidRDefault="003F1FF8" w:rsidP="003F1FF8">
            <w:pPr>
              <w:rPr>
                <w:sz w:val="20"/>
                <w:szCs w:val="20"/>
              </w:rPr>
            </w:pPr>
            <w:r w:rsidRPr="00D243AF">
              <w:rPr>
                <w:color w:val="000000"/>
                <w:sz w:val="20"/>
                <w:szCs w:val="20"/>
              </w:rPr>
              <w:t>November 30, 2025</w:t>
            </w:r>
          </w:p>
        </w:tc>
        <w:tc>
          <w:tcPr>
            <w:tcW w:w="1512" w:type="dxa"/>
            <w:vAlign w:val="center"/>
          </w:tcPr>
          <w:p w14:paraId="3F024BEB" w14:textId="3CAA51DE" w:rsidR="003F1FF8" w:rsidRPr="00D243AF" w:rsidRDefault="003F1FF8" w:rsidP="003F1FF8">
            <w:pPr>
              <w:tabs>
                <w:tab w:val="left" w:pos="0"/>
                <w:tab w:val="decimal" w:pos="1202"/>
              </w:tabs>
              <w:rPr>
                <w:sz w:val="20"/>
                <w:szCs w:val="20"/>
              </w:rPr>
            </w:pPr>
            <w:r w:rsidRPr="00D243AF">
              <w:rPr>
                <w:color w:val="000000"/>
                <w:sz w:val="20"/>
                <w:szCs w:val="20"/>
              </w:rPr>
              <w:t xml:space="preserve"> $              0.16 </w:t>
            </w:r>
          </w:p>
        </w:tc>
        <w:tc>
          <w:tcPr>
            <w:tcW w:w="1512" w:type="dxa"/>
            <w:vAlign w:val="center"/>
          </w:tcPr>
          <w:p w14:paraId="56275095" w14:textId="1F3D4A38" w:rsidR="003F1FF8" w:rsidRPr="00D243AF" w:rsidRDefault="003F1FF8" w:rsidP="003F1FF8">
            <w:pPr>
              <w:tabs>
                <w:tab w:val="left" w:pos="0"/>
                <w:tab w:val="decimal" w:pos="1202"/>
              </w:tabs>
              <w:jc w:val="right"/>
              <w:rPr>
                <w:sz w:val="20"/>
                <w:szCs w:val="20"/>
              </w:rPr>
            </w:pPr>
            <w:r w:rsidRPr="00D243AF">
              <w:rPr>
                <w:color w:val="000000"/>
                <w:sz w:val="20"/>
                <w:szCs w:val="20"/>
              </w:rPr>
              <w:t>450,000</w:t>
            </w:r>
          </w:p>
        </w:tc>
        <w:tc>
          <w:tcPr>
            <w:tcW w:w="1512" w:type="dxa"/>
            <w:vAlign w:val="center"/>
          </w:tcPr>
          <w:p w14:paraId="3D4B58A5" w14:textId="101D7DAC" w:rsidR="003F1FF8" w:rsidRPr="00D243AF" w:rsidRDefault="003F1FF8" w:rsidP="003F1FF8">
            <w:pPr>
              <w:tabs>
                <w:tab w:val="left" w:pos="0"/>
                <w:tab w:val="decimal" w:pos="1202"/>
              </w:tabs>
              <w:jc w:val="right"/>
              <w:rPr>
                <w:sz w:val="20"/>
                <w:szCs w:val="20"/>
              </w:rPr>
            </w:pPr>
            <w:r w:rsidRPr="00D243AF">
              <w:rPr>
                <w:color w:val="000000"/>
                <w:sz w:val="20"/>
                <w:szCs w:val="20"/>
              </w:rPr>
              <w:t>112,500</w:t>
            </w:r>
          </w:p>
        </w:tc>
      </w:tr>
      <w:tr w:rsidR="003F1FF8" w:rsidRPr="00D243AF" w14:paraId="51A7FE94" w14:textId="77777777" w:rsidTr="00D243AF">
        <w:tc>
          <w:tcPr>
            <w:tcW w:w="4536" w:type="dxa"/>
            <w:vAlign w:val="center"/>
          </w:tcPr>
          <w:p w14:paraId="4B216CBB" w14:textId="7476EF4B" w:rsidR="003F1FF8" w:rsidRPr="00D243AF" w:rsidRDefault="003F1FF8" w:rsidP="003F1FF8">
            <w:pPr>
              <w:rPr>
                <w:sz w:val="20"/>
                <w:szCs w:val="20"/>
              </w:rPr>
            </w:pPr>
            <w:r w:rsidRPr="00D243AF">
              <w:rPr>
                <w:color w:val="000000"/>
                <w:sz w:val="20"/>
                <w:szCs w:val="20"/>
              </w:rPr>
              <w:t>December 30, 2025</w:t>
            </w:r>
          </w:p>
        </w:tc>
        <w:tc>
          <w:tcPr>
            <w:tcW w:w="1512" w:type="dxa"/>
            <w:vAlign w:val="center"/>
          </w:tcPr>
          <w:p w14:paraId="5C551EC5" w14:textId="566ADFAA" w:rsidR="003F1FF8" w:rsidRPr="00D243AF" w:rsidRDefault="003F1FF8" w:rsidP="003F1FF8">
            <w:pPr>
              <w:tabs>
                <w:tab w:val="left" w:pos="0"/>
                <w:tab w:val="decimal" w:pos="1202"/>
              </w:tabs>
              <w:rPr>
                <w:sz w:val="20"/>
                <w:szCs w:val="20"/>
              </w:rPr>
            </w:pPr>
            <w:r w:rsidRPr="00D243AF">
              <w:rPr>
                <w:color w:val="000000"/>
                <w:sz w:val="20"/>
                <w:szCs w:val="20"/>
              </w:rPr>
              <w:t xml:space="preserve"> $              0.23 </w:t>
            </w:r>
          </w:p>
        </w:tc>
        <w:tc>
          <w:tcPr>
            <w:tcW w:w="1512" w:type="dxa"/>
            <w:vAlign w:val="center"/>
          </w:tcPr>
          <w:p w14:paraId="488A476E" w14:textId="5D134EBA" w:rsidR="003F1FF8" w:rsidRPr="00D243AF" w:rsidRDefault="003F1FF8" w:rsidP="003F1FF8">
            <w:pPr>
              <w:tabs>
                <w:tab w:val="left" w:pos="0"/>
                <w:tab w:val="decimal" w:pos="1202"/>
              </w:tabs>
              <w:jc w:val="right"/>
              <w:rPr>
                <w:sz w:val="20"/>
                <w:szCs w:val="20"/>
              </w:rPr>
            </w:pPr>
            <w:r w:rsidRPr="00D243AF">
              <w:rPr>
                <w:color w:val="000000"/>
                <w:sz w:val="20"/>
                <w:szCs w:val="20"/>
              </w:rPr>
              <w:t>300,000</w:t>
            </w:r>
          </w:p>
        </w:tc>
        <w:tc>
          <w:tcPr>
            <w:tcW w:w="1512" w:type="dxa"/>
            <w:vAlign w:val="center"/>
          </w:tcPr>
          <w:p w14:paraId="7BE314F5" w14:textId="48C02AD5" w:rsidR="003F1FF8" w:rsidRPr="00D243AF" w:rsidRDefault="003F1FF8" w:rsidP="003F1FF8">
            <w:pPr>
              <w:tabs>
                <w:tab w:val="left" w:pos="0"/>
                <w:tab w:val="decimal" w:pos="1202"/>
              </w:tabs>
              <w:jc w:val="right"/>
              <w:rPr>
                <w:sz w:val="20"/>
                <w:szCs w:val="20"/>
              </w:rPr>
            </w:pPr>
            <w:r w:rsidRPr="00D243AF">
              <w:rPr>
                <w:color w:val="000000"/>
                <w:sz w:val="20"/>
                <w:szCs w:val="20"/>
              </w:rPr>
              <w:t>75,000</w:t>
            </w:r>
          </w:p>
        </w:tc>
      </w:tr>
      <w:tr w:rsidR="003F1FF8" w:rsidRPr="00D243AF" w14:paraId="4538CC73" w14:textId="77777777" w:rsidTr="00D243AF">
        <w:tc>
          <w:tcPr>
            <w:tcW w:w="4536" w:type="dxa"/>
            <w:vAlign w:val="center"/>
          </w:tcPr>
          <w:p w14:paraId="709B8DAB" w14:textId="4E12267C" w:rsidR="003F1FF8" w:rsidRPr="00D243AF" w:rsidRDefault="003F1FF8" w:rsidP="003F1FF8">
            <w:pPr>
              <w:rPr>
                <w:sz w:val="20"/>
                <w:szCs w:val="20"/>
              </w:rPr>
            </w:pPr>
            <w:r w:rsidRPr="00D243AF">
              <w:rPr>
                <w:color w:val="000000"/>
                <w:sz w:val="20"/>
                <w:szCs w:val="20"/>
              </w:rPr>
              <w:t>January 25, 202</w:t>
            </w:r>
            <w:r w:rsidR="002F6CE4" w:rsidRPr="00D243AF">
              <w:rPr>
                <w:color w:val="000000"/>
                <w:sz w:val="20"/>
                <w:szCs w:val="20"/>
              </w:rPr>
              <w:t>6</w:t>
            </w:r>
          </w:p>
        </w:tc>
        <w:tc>
          <w:tcPr>
            <w:tcW w:w="1512" w:type="dxa"/>
            <w:vAlign w:val="center"/>
          </w:tcPr>
          <w:p w14:paraId="1A96B9A2" w14:textId="75038F4C" w:rsidR="003F1FF8" w:rsidRPr="00D243AF" w:rsidRDefault="003F1FF8" w:rsidP="003F1FF8">
            <w:pPr>
              <w:tabs>
                <w:tab w:val="left" w:pos="0"/>
                <w:tab w:val="decimal" w:pos="1202"/>
              </w:tabs>
              <w:rPr>
                <w:sz w:val="20"/>
                <w:szCs w:val="20"/>
              </w:rPr>
            </w:pPr>
            <w:r w:rsidRPr="00D243AF">
              <w:rPr>
                <w:color w:val="000000"/>
                <w:sz w:val="20"/>
                <w:szCs w:val="20"/>
              </w:rPr>
              <w:t xml:space="preserve"> $              0.40 </w:t>
            </w:r>
          </w:p>
        </w:tc>
        <w:tc>
          <w:tcPr>
            <w:tcW w:w="1512" w:type="dxa"/>
            <w:vAlign w:val="center"/>
          </w:tcPr>
          <w:p w14:paraId="235C2D88" w14:textId="3EE80BA0" w:rsidR="003F1FF8" w:rsidRPr="00D243AF" w:rsidRDefault="003F1FF8" w:rsidP="003F1FF8">
            <w:pPr>
              <w:tabs>
                <w:tab w:val="left" w:pos="0"/>
                <w:tab w:val="decimal" w:pos="1202"/>
              </w:tabs>
              <w:jc w:val="right"/>
              <w:rPr>
                <w:sz w:val="20"/>
                <w:szCs w:val="20"/>
              </w:rPr>
            </w:pPr>
            <w:r w:rsidRPr="00D243AF">
              <w:rPr>
                <w:color w:val="000000"/>
                <w:sz w:val="20"/>
                <w:szCs w:val="20"/>
              </w:rPr>
              <w:t>2,135,000</w:t>
            </w:r>
          </w:p>
        </w:tc>
        <w:tc>
          <w:tcPr>
            <w:tcW w:w="1512" w:type="dxa"/>
            <w:vAlign w:val="center"/>
          </w:tcPr>
          <w:p w14:paraId="224B7E4B" w14:textId="54DE65D0" w:rsidR="003F1FF8" w:rsidRPr="00D243AF" w:rsidRDefault="003F1FF8" w:rsidP="003F1FF8">
            <w:pPr>
              <w:tabs>
                <w:tab w:val="left" w:pos="0"/>
                <w:tab w:val="decimal" w:pos="1202"/>
              </w:tabs>
              <w:jc w:val="right"/>
              <w:rPr>
                <w:sz w:val="20"/>
                <w:szCs w:val="20"/>
              </w:rPr>
            </w:pPr>
            <w:r w:rsidRPr="00D243AF">
              <w:rPr>
                <w:color w:val="000000"/>
                <w:sz w:val="20"/>
                <w:szCs w:val="20"/>
              </w:rPr>
              <w:t>533,750</w:t>
            </w:r>
          </w:p>
        </w:tc>
      </w:tr>
      <w:tr w:rsidR="00D243AF" w:rsidRPr="00D243AF" w14:paraId="67D68C48" w14:textId="77777777" w:rsidTr="00760411">
        <w:tc>
          <w:tcPr>
            <w:tcW w:w="4536" w:type="dxa"/>
            <w:vAlign w:val="center"/>
          </w:tcPr>
          <w:p w14:paraId="6004E1F6" w14:textId="74B9FECF" w:rsidR="00D243AF" w:rsidRPr="00D243AF" w:rsidRDefault="00D243AF" w:rsidP="00BA2C24">
            <w:pPr>
              <w:rPr>
                <w:sz w:val="20"/>
                <w:szCs w:val="20"/>
              </w:rPr>
            </w:pPr>
            <w:r w:rsidRPr="00D243AF">
              <w:rPr>
                <w:color w:val="000000"/>
                <w:sz w:val="20"/>
                <w:szCs w:val="20"/>
              </w:rPr>
              <w:t>May 31, 2026</w:t>
            </w:r>
          </w:p>
        </w:tc>
        <w:tc>
          <w:tcPr>
            <w:tcW w:w="1512" w:type="dxa"/>
            <w:vAlign w:val="center"/>
          </w:tcPr>
          <w:p w14:paraId="365D758E" w14:textId="77777777" w:rsidR="00D243AF" w:rsidRPr="00D243AF" w:rsidRDefault="00D243AF" w:rsidP="00BA2C24">
            <w:pPr>
              <w:tabs>
                <w:tab w:val="left" w:pos="0"/>
                <w:tab w:val="decimal" w:pos="1202"/>
              </w:tabs>
              <w:rPr>
                <w:sz w:val="20"/>
                <w:szCs w:val="20"/>
              </w:rPr>
            </w:pPr>
            <w:r w:rsidRPr="00D243AF">
              <w:rPr>
                <w:color w:val="000000"/>
                <w:sz w:val="20"/>
                <w:szCs w:val="20"/>
              </w:rPr>
              <w:t xml:space="preserve"> $              0.23 </w:t>
            </w:r>
          </w:p>
        </w:tc>
        <w:tc>
          <w:tcPr>
            <w:tcW w:w="1512" w:type="dxa"/>
            <w:vAlign w:val="center"/>
          </w:tcPr>
          <w:p w14:paraId="3A73A499" w14:textId="19F66035" w:rsidR="00D243AF" w:rsidRPr="00D243AF" w:rsidRDefault="00D243AF" w:rsidP="00BA2C24">
            <w:pPr>
              <w:tabs>
                <w:tab w:val="left" w:pos="0"/>
                <w:tab w:val="decimal" w:pos="1202"/>
              </w:tabs>
              <w:jc w:val="right"/>
              <w:rPr>
                <w:sz w:val="20"/>
                <w:szCs w:val="20"/>
              </w:rPr>
            </w:pPr>
            <w:r w:rsidRPr="00D243AF">
              <w:rPr>
                <w:color w:val="000000"/>
                <w:sz w:val="20"/>
                <w:szCs w:val="20"/>
              </w:rPr>
              <w:t>375,000</w:t>
            </w:r>
          </w:p>
        </w:tc>
        <w:tc>
          <w:tcPr>
            <w:tcW w:w="1512" w:type="dxa"/>
            <w:vAlign w:val="center"/>
          </w:tcPr>
          <w:p w14:paraId="017E5D86" w14:textId="2401430A" w:rsidR="00D243AF" w:rsidRPr="00D243AF" w:rsidRDefault="00D243AF" w:rsidP="00BA2C24">
            <w:pPr>
              <w:tabs>
                <w:tab w:val="left" w:pos="0"/>
                <w:tab w:val="decimal" w:pos="1202"/>
              </w:tabs>
              <w:jc w:val="right"/>
              <w:rPr>
                <w:sz w:val="20"/>
                <w:szCs w:val="20"/>
              </w:rPr>
            </w:pPr>
            <w:r w:rsidRPr="00D243AF">
              <w:rPr>
                <w:color w:val="000000"/>
                <w:sz w:val="20"/>
                <w:szCs w:val="20"/>
              </w:rPr>
              <w:t>93,750</w:t>
            </w:r>
          </w:p>
        </w:tc>
      </w:tr>
      <w:tr w:rsidR="00D243AF" w:rsidRPr="00D243AF" w14:paraId="796EA923" w14:textId="77777777" w:rsidTr="00760411">
        <w:tc>
          <w:tcPr>
            <w:tcW w:w="4536" w:type="dxa"/>
            <w:tcBorders>
              <w:bottom w:val="single" w:sz="4" w:space="0" w:color="auto"/>
            </w:tcBorders>
            <w:vAlign w:val="center"/>
          </w:tcPr>
          <w:p w14:paraId="2CD0A59D" w14:textId="4E84DFF6" w:rsidR="00D243AF" w:rsidRPr="00D243AF" w:rsidRDefault="00D243AF" w:rsidP="00BA2C24">
            <w:pPr>
              <w:rPr>
                <w:sz w:val="20"/>
                <w:szCs w:val="20"/>
              </w:rPr>
            </w:pPr>
            <w:r w:rsidRPr="00D243AF">
              <w:rPr>
                <w:color w:val="000000"/>
                <w:sz w:val="20"/>
                <w:szCs w:val="20"/>
              </w:rPr>
              <w:t>June 30, 2026</w:t>
            </w:r>
          </w:p>
        </w:tc>
        <w:tc>
          <w:tcPr>
            <w:tcW w:w="1512" w:type="dxa"/>
            <w:tcBorders>
              <w:bottom w:val="single" w:sz="4" w:space="0" w:color="auto"/>
            </w:tcBorders>
            <w:vAlign w:val="center"/>
          </w:tcPr>
          <w:p w14:paraId="5B6E35DA" w14:textId="4FCAA256" w:rsidR="00D243AF" w:rsidRPr="00D243AF" w:rsidRDefault="00D243AF" w:rsidP="00BA2C24">
            <w:pPr>
              <w:tabs>
                <w:tab w:val="left" w:pos="0"/>
                <w:tab w:val="decimal" w:pos="1202"/>
              </w:tabs>
              <w:rPr>
                <w:sz w:val="20"/>
                <w:szCs w:val="20"/>
              </w:rPr>
            </w:pPr>
            <w:r w:rsidRPr="00D243AF">
              <w:rPr>
                <w:color w:val="000000"/>
                <w:sz w:val="20"/>
                <w:szCs w:val="20"/>
              </w:rPr>
              <w:t xml:space="preserve"> $              0.21 </w:t>
            </w:r>
          </w:p>
        </w:tc>
        <w:tc>
          <w:tcPr>
            <w:tcW w:w="1512" w:type="dxa"/>
            <w:tcBorders>
              <w:bottom w:val="single" w:sz="4" w:space="0" w:color="auto"/>
            </w:tcBorders>
            <w:vAlign w:val="center"/>
          </w:tcPr>
          <w:p w14:paraId="2E14C06B" w14:textId="4094ECB3" w:rsidR="00D243AF" w:rsidRPr="00D243AF" w:rsidRDefault="00D243AF" w:rsidP="00BA2C24">
            <w:pPr>
              <w:tabs>
                <w:tab w:val="left" w:pos="0"/>
                <w:tab w:val="decimal" w:pos="1202"/>
              </w:tabs>
              <w:jc w:val="right"/>
              <w:rPr>
                <w:sz w:val="20"/>
                <w:szCs w:val="20"/>
              </w:rPr>
            </w:pPr>
            <w:r w:rsidRPr="00D243AF">
              <w:rPr>
                <w:color w:val="000000"/>
                <w:sz w:val="20"/>
                <w:szCs w:val="20"/>
              </w:rPr>
              <w:t>850,000</w:t>
            </w:r>
          </w:p>
        </w:tc>
        <w:tc>
          <w:tcPr>
            <w:tcW w:w="1512" w:type="dxa"/>
            <w:tcBorders>
              <w:bottom w:val="single" w:sz="4" w:space="0" w:color="auto"/>
            </w:tcBorders>
            <w:vAlign w:val="center"/>
          </w:tcPr>
          <w:p w14:paraId="6D2682A3" w14:textId="6FEA955F" w:rsidR="00D243AF" w:rsidRPr="00D243AF" w:rsidRDefault="00D243AF" w:rsidP="00BA2C24">
            <w:pPr>
              <w:tabs>
                <w:tab w:val="left" w:pos="0"/>
                <w:tab w:val="decimal" w:pos="1202"/>
              </w:tabs>
              <w:jc w:val="right"/>
              <w:rPr>
                <w:sz w:val="20"/>
                <w:szCs w:val="20"/>
              </w:rPr>
            </w:pPr>
            <w:r w:rsidRPr="00D243AF">
              <w:rPr>
                <w:color w:val="000000"/>
                <w:sz w:val="20"/>
                <w:szCs w:val="20"/>
              </w:rPr>
              <w:t>212,500</w:t>
            </w:r>
          </w:p>
        </w:tc>
      </w:tr>
      <w:tr w:rsidR="003F1FF8" w:rsidRPr="00D243AF" w14:paraId="47A884E3" w14:textId="77777777" w:rsidTr="00760411">
        <w:tc>
          <w:tcPr>
            <w:tcW w:w="4536" w:type="dxa"/>
            <w:tcBorders>
              <w:top w:val="single" w:sz="4" w:space="0" w:color="auto"/>
              <w:bottom w:val="double" w:sz="4" w:space="0" w:color="auto"/>
            </w:tcBorders>
          </w:tcPr>
          <w:p w14:paraId="2F084360" w14:textId="77777777" w:rsidR="003F1FF8" w:rsidRPr="00D243AF" w:rsidRDefault="003F1FF8" w:rsidP="003F1FF8">
            <w:pPr>
              <w:rPr>
                <w:sz w:val="20"/>
                <w:szCs w:val="20"/>
              </w:rPr>
            </w:pPr>
          </w:p>
        </w:tc>
        <w:tc>
          <w:tcPr>
            <w:tcW w:w="1512" w:type="dxa"/>
            <w:tcBorders>
              <w:top w:val="single" w:sz="4" w:space="0" w:color="auto"/>
              <w:bottom w:val="double" w:sz="4" w:space="0" w:color="auto"/>
            </w:tcBorders>
            <w:vAlign w:val="center"/>
          </w:tcPr>
          <w:p w14:paraId="6B0D8D6B" w14:textId="72F4B247" w:rsidR="003F1FF8" w:rsidRPr="00D243AF" w:rsidRDefault="003F1FF8" w:rsidP="003F1FF8">
            <w:pPr>
              <w:tabs>
                <w:tab w:val="left" w:pos="0"/>
                <w:tab w:val="decimal" w:pos="1202"/>
              </w:tabs>
              <w:rPr>
                <w:sz w:val="20"/>
                <w:szCs w:val="20"/>
              </w:rPr>
            </w:pPr>
            <w:r w:rsidRPr="00D243AF">
              <w:rPr>
                <w:color w:val="000000"/>
                <w:sz w:val="20"/>
                <w:szCs w:val="20"/>
              </w:rPr>
              <w:t> </w:t>
            </w:r>
          </w:p>
        </w:tc>
        <w:tc>
          <w:tcPr>
            <w:tcW w:w="1512" w:type="dxa"/>
            <w:tcBorders>
              <w:top w:val="single" w:sz="4" w:space="0" w:color="auto"/>
              <w:bottom w:val="double" w:sz="4" w:space="0" w:color="auto"/>
            </w:tcBorders>
            <w:vAlign w:val="center"/>
          </w:tcPr>
          <w:p w14:paraId="01F73005" w14:textId="6DC57629" w:rsidR="003F1FF8" w:rsidRPr="00D243AF" w:rsidRDefault="003F1FF8" w:rsidP="003F1FF8">
            <w:pPr>
              <w:tabs>
                <w:tab w:val="left" w:pos="0"/>
                <w:tab w:val="decimal" w:pos="1202"/>
              </w:tabs>
              <w:jc w:val="right"/>
              <w:rPr>
                <w:sz w:val="20"/>
                <w:szCs w:val="20"/>
              </w:rPr>
            </w:pPr>
            <w:r w:rsidRPr="00D243AF">
              <w:rPr>
                <w:color w:val="000000"/>
                <w:sz w:val="20"/>
                <w:szCs w:val="20"/>
              </w:rPr>
              <w:t>6,</w:t>
            </w:r>
            <w:r w:rsidR="00D243AF" w:rsidRPr="00D243AF">
              <w:rPr>
                <w:color w:val="000000"/>
                <w:sz w:val="20"/>
                <w:szCs w:val="20"/>
              </w:rPr>
              <w:t>860</w:t>
            </w:r>
            <w:r w:rsidRPr="00D243AF">
              <w:rPr>
                <w:color w:val="000000"/>
                <w:sz w:val="20"/>
                <w:szCs w:val="20"/>
              </w:rPr>
              <w:t>,000</w:t>
            </w:r>
          </w:p>
        </w:tc>
        <w:tc>
          <w:tcPr>
            <w:tcW w:w="1512" w:type="dxa"/>
            <w:tcBorders>
              <w:top w:val="single" w:sz="4" w:space="0" w:color="auto"/>
              <w:bottom w:val="double" w:sz="4" w:space="0" w:color="auto"/>
            </w:tcBorders>
            <w:vAlign w:val="center"/>
          </w:tcPr>
          <w:p w14:paraId="02F9E3E5" w14:textId="4232C8AB" w:rsidR="003F1FF8" w:rsidRPr="00D243AF" w:rsidRDefault="00D243AF" w:rsidP="003F1FF8">
            <w:pPr>
              <w:tabs>
                <w:tab w:val="left" w:pos="0"/>
                <w:tab w:val="decimal" w:pos="1202"/>
              </w:tabs>
              <w:jc w:val="right"/>
              <w:rPr>
                <w:sz w:val="20"/>
                <w:szCs w:val="20"/>
              </w:rPr>
            </w:pPr>
            <w:r w:rsidRPr="00D243AF">
              <w:rPr>
                <w:color w:val="000000"/>
                <w:sz w:val="20"/>
                <w:szCs w:val="20"/>
              </w:rPr>
              <w:t>2,708</w:t>
            </w:r>
            <w:r w:rsidR="003F1FF8" w:rsidRPr="00D243AF">
              <w:rPr>
                <w:color w:val="000000"/>
                <w:sz w:val="20"/>
                <w:szCs w:val="20"/>
              </w:rPr>
              <w:t>,</w:t>
            </w:r>
            <w:r w:rsidRPr="00D243AF">
              <w:rPr>
                <w:color w:val="000000"/>
                <w:sz w:val="20"/>
                <w:szCs w:val="20"/>
              </w:rPr>
              <w:t>75</w:t>
            </w:r>
            <w:r w:rsidR="003F1FF8" w:rsidRPr="00D243AF">
              <w:rPr>
                <w:color w:val="000000"/>
                <w:sz w:val="20"/>
                <w:szCs w:val="20"/>
              </w:rPr>
              <w:t>0</w:t>
            </w:r>
          </w:p>
        </w:tc>
      </w:tr>
      <w:bookmarkEnd w:id="9"/>
    </w:tbl>
    <w:p w14:paraId="54B3F824" w14:textId="77777777" w:rsidR="00D243AF" w:rsidRDefault="00D243AF" w:rsidP="00D70116">
      <w:pPr>
        <w:ind w:left="284"/>
        <w:jc w:val="both"/>
        <w:rPr>
          <w:b/>
          <w:bCs/>
          <w:sz w:val="20"/>
          <w:szCs w:val="20"/>
          <w:highlight w:val="yellow"/>
        </w:rPr>
      </w:pPr>
    </w:p>
    <w:p w14:paraId="1C3CD2B9" w14:textId="040917EA" w:rsidR="00D70116" w:rsidRPr="0000179E" w:rsidRDefault="00D70116" w:rsidP="00D70116">
      <w:pPr>
        <w:ind w:left="284"/>
        <w:jc w:val="both"/>
        <w:rPr>
          <w:b/>
          <w:bCs/>
          <w:sz w:val="20"/>
          <w:szCs w:val="20"/>
        </w:rPr>
      </w:pPr>
      <w:r w:rsidRPr="0000179E">
        <w:rPr>
          <w:b/>
          <w:bCs/>
          <w:sz w:val="20"/>
          <w:szCs w:val="20"/>
        </w:rPr>
        <w:t>Warrants</w:t>
      </w:r>
    </w:p>
    <w:p w14:paraId="646CC212" w14:textId="77777777" w:rsidR="00D70116" w:rsidRPr="0000179E" w:rsidRDefault="00D70116" w:rsidP="00D70116">
      <w:pPr>
        <w:ind w:left="360"/>
        <w:jc w:val="both"/>
        <w:rPr>
          <w:b/>
          <w:bCs/>
          <w:sz w:val="20"/>
          <w:szCs w:val="20"/>
        </w:rPr>
      </w:pPr>
    </w:p>
    <w:p w14:paraId="3B5E1597" w14:textId="77777777" w:rsidR="00D70116" w:rsidRPr="0000179E" w:rsidRDefault="00D70116" w:rsidP="00D70116">
      <w:pPr>
        <w:ind w:left="284"/>
        <w:jc w:val="both"/>
        <w:rPr>
          <w:sz w:val="20"/>
          <w:szCs w:val="20"/>
        </w:rPr>
      </w:pPr>
      <w:r w:rsidRPr="0000179E">
        <w:rPr>
          <w:sz w:val="20"/>
          <w:szCs w:val="20"/>
        </w:rPr>
        <w:t>A summary of the warrant activity is as follows:</w:t>
      </w:r>
    </w:p>
    <w:p w14:paraId="236F0EA9" w14:textId="77777777" w:rsidR="00D70116" w:rsidRPr="0000179E" w:rsidRDefault="00D70116" w:rsidP="00D70116">
      <w:pPr>
        <w:ind w:left="284"/>
        <w:jc w:val="both"/>
        <w:rPr>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D70116" w:rsidRPr="0000179E" w14:paraId="401F06AF" w14:textId="77777777" w:rsidTr="00E60C9A">
        <w:tc>
          <w:tcPr>
            <w:tcW w:w="6090" w:type="dxa"/>
            <w:tcBorders>
              <w:top w:val="double" w:sz="4" w:space="0" w:color="auto"/>
              <w:bottom w:val="single" w:sz="4" w:space="0" w:color="auto"/>
            </w:tcBorders>
          </w:tcPr>
          <w:p w14:paraId="769223D6" w14:textId="77777777" w:rsidR="00D70116" w:rsidRPr="0000179E" w:rsidRDefault="00D70116" w:rsidP="00E60C9A">
            <w:pPr>
              <w:rPr>
                <w:sz w:val="20"/>
                <w:szCs w:val="20"/>
              </w:rPr>
            </w:pPr>
          </w:p>
        </w:tc>
        <w:tc>
          <w:tcPr>
            <w:tcW w:w="1488" w:type="dxa"/>
            <w:tcBorders>
              <w:top w:val="double" w:sz="4" w:space="0" w:color="auto"/>
              <w:bottom w:val="single" w:sz="4" w:space="0" w:color="auto"/>
            </w:tcBorders>
          </w:tcPr>
          <w:p w14:paraId="5F75BCA8" w14:textId="77777777" w:rsidR="00D70116" w:rsidRPr="0000179E" w:rsidRDefault="00D70116" w:rsidP="00E60C9A">
            <w:pPr>
              <w:tabs>
                <w:tab w:val="decimal" w:pos="1202"/>
              </w:tabs>
              <w:rPr>
                <w:b/>
                <w:bCs/>
                <w:sz w:val="20"/>
                <w:szCs w:val="20"/>
              </w:rPr>
            </w:pPr>
            <w:r w:rsidRPr="0000179E">
              <w:rPr>
                <w:b/>
                <w:bCs/>
                <w:sz w:val="20"/>
                <w:szCs w:val="20"/>
              </w:rPr>
              <w:t>Number of warrants</w:t>
            </w:r>
          </w:p>
        </w:tc>
        <w:tc>
          <w:tcPr>
            <w:tcW w:w="1488" w:type="dxa"/>
            <w:tcBorders>
              <w:top w:val="double" w:sz="4" w:space="0" w:color="auto"/>
              <w:bottom w:val="single" w:sz="4" w:space="0" w:color="auto"/>
            </w:tcBorders>
          </w:tcPr>
          <w:p w14:paraId="42D352DF" w14:textId="77777777" w:rsidR="00D70116" w:rsidRPr="0000179E" w:rsidRDefault="00D70116" w:rsidP="00E60C9A">
            <w:pPr>
              <w:tabs>
                <w:tab w:val="decimal" w:pos="1202"/>
              </w:tabs>
              <w:rPr>
                <w:b/>
                <w:bCs/>
                <w:sz w:val="20"/>
                <w:szCs w:val="20"/>
              </w:rPr>
            </w:pPr>
            <w:r w:rsidRPr="0000179E">
              <w:rPr>
                <w:b/>
                <w:bCs/>
                <w:sz w:val="20"/>
                <w:szCs w:val="20"/>
              </w:rPr>
              <w:t>Weighted Average Exercise Price</w:t>
            </w:r>
          </w:p>
        </w:tc>
      </w:tr>
      <w:tr w:rsidR="003F1FF8" w:rsidRPr="0000179E" w14:paraId="5E6D7D11" w14:textId="77777777" w:rsidTr="00E60C9A">
        <w:tc>
          <w:tcPr>
            <w:tcW w:w="6090" w:type="dxa"/>
            <w:tcBorders>
              <w:top w:val="single" w:sz="4" w:space="0" w:color="auto"/>
            </w:tcBorders>
            <w:vAlign w:val="center"/>
          </w:tcPr>
          <w:p w14:paraId="015040F8" w14:textId="0FE9A806" w:rsidR="003F1FF8" w:rsidRPr="0000179E" w:rsidRDefault="003F1FF8" w:rsidP="003F1FF8">
            <w:pPr>
              <w:rPr>
                <w:sz w:val="20"/>
                <w:szCs w:val="20"/>
              </w:rPr>
            </w:pPr>
            <w:r w:rsidRPr="0000179E">
              <w:rPr>
                <w:color w:val="000000"/>
                <w:sz w:val="20"/>
                <w:szCs w:val="20"/>
              </w:rPr>
              <w:t>Balance, December 31, 2019</w:t>
            </w:r>
          </w:p>
        </w:tc>
        <w:tc>
          <w:tcPr>
            <w:tcW w:w="1488" w:type="dxa"/>
            <w:tcBorders>
              <w:top w:val="single" w:sz="4" w:space="0" w:color="auto"/>
            </w:tcBorders>
            <w:vAlign w:val="center"/>
          </w:tcPr>
          <w:p w14:paraId="7ED911F4" w14:textId="75844736" w:rsidR="003F1FF8" w:rsidRPr="0000179E" w:rsidRDefault="003F1FF8" w:rsidP="003F1FF8">
            <w:pPr>
              <w:tabs>
                <w:tab w:val="left" w:pos="0"/>
                <w:tab w:val="decimal" w:pos="1202"/>
              </w:tabs>
              <w:rPr>
                <w:sz w:val="20"/>
                <w:szCs w:val="20"/>
              </w:rPr>
            </w:pPr>
            <w:r w:rsidRPr="0000179E">
              <w:rPr>
                <w:color w:val="000000"/>
                <w:sz w:val="20"/>
                <w:szCs w:val="20"/>
              </w:rPr>
              <w:tab/>
              <w:t xml:space="preserve">8,790,000 </w:t>
            </w:r>
          </w:p>
        </w:tc>
        <w:tc>
          <w:tcPr>
            <w:tcW w:w="1488" w:type="dxa"/>
            <w:tcBorders>
              <w:top w:val="single" w:sz="4" w:space="0" w:color="auto"/>
            </w:tcBorders>
            <w:vAlign w:val="center"/>
          </w:tcPr>
          <w:p w14:paraId="6892AFC1" w14:textId="3CAECD90" w:rsidR="003F1FF8" w:rsidRPr="0000179E" w:rsidRDefault="003F1FF8" w:rsidP="003F1FF8">
            <w:pPr>
              <w:tabs>
                <w:tab w:val="left" w:pos="0"/>
                <w:tab w:val="decimal" w:pos="1202"/>
              </w:tabs>
              <w:rPr>
                <w:sz w:val="20"/>
                <w:szCs w:val="20"/>
              </w:rPr>
            </w:pPr>
            <w:r w:rsidRPr="0000179E">
              <w:rPr>
                <w:color w:val="000000"/>
                <w:sz w:val="20"/>
                <w:szCs w:val="20"/>
              </w:rPr>
              <w:t xml:space="preserve"> $               0.35 </w:t>
            </w:r>
          </w:p>
        </w:tc>
      </w:tr>
      <w:tr w:rsidR="003F1FF8" w:rsidRPr="0000179E" w14:paraId="29B999E9" w14:textId="77777777" w:rsidTr="00E60C9A">
        <w:tc>
          <w:tcPr>
            <w:tcW w:w="6090" w:type="dxa"/>
            <w:vAlign w:val="center"/>
          </w:tcPr>
          <w:p w14:paraId="2963DBFB" w14:textId="4F00F0E5" w:rsidR="003F1FF8" w:rsidRPr="0000179E" w:rsidRDefault="003F1FF8" w:rsidP="003F1FF8">
            <w:pPr>
              <w:rPr>
                <w:sz w:val="20"/>
                <w:szCs w:val="20"/>
              </w:rPr>
            </w:pPr>
            <w:r w:rsidRPr="0000179E">
              <w:rPr>
                <w:color w:val="000000"/>
                <w:sz w:val="20"/>
                <w:szCs w:val="20"/>
              </w:rPr>
              <w:t>Granted</w:t>
            </w:r>
          </w:p>
        </w:tc>
        <w:tc>
          <w:tcPr>
            <w:tcW w:w="1488" w:type="dxa"/>
            <w:vAlign w:val="center"/>
          </w:tcPr>
          <w:p w14:paraId="76FAE7C0" w14:textId="4511249D" w:rsidR="003F1FF8" w:rsidRPr="0000179E" w:rsidRDefault="003F1FF8" w:rsidP="003F1FF8">
            <w:pPr>
              <w:tabs>
                <w:tab w:val="decimal" w:pos="1202"/>
              </w:tabs>
              <w:rPr>
                <w:sz w:val="20"/>
                <w:szCs w:val="20"/>
              </w:rPr>
            </w:pPr>
            <w:r w:rsidRPr="0000179E">
              <w:rPr>
                <w:color w:val="000000"/>
                <w:sz w:val="20"/>
                <w:szCs w:val="20"/>
              </w:rPr>
              <w:t xml:space="preserve">8,281,400 </w:t>
            </w:r>
          </w:p>
        </w:tc>
        <w:tc>
          <w:tcPr>
            <w:tcW w:w="1488" w:type="dxa"/>
            <w:vAlign w:val="center"/>
          </w:tcPr>
          <w:p w14:paraId="12999A1A" w14:textId="37BBB864" w:rsidR="003F1FF8" w:rsidRPr="0000179E" w:rsidRDefault="003F1FF8" w:rsidP="003F1FF8">
            <w:pPr>
              <w:tabs>
                <w:tab w:val="left" w:pos="0"/>
                <w:tab w:val="decimal" w:pos="1202"/>
              </w:tabs>
              <w:rPr>
                <w:sz w:val="20"/>
                <w:szCs w:val="20"/>
              </w:rPr>
            </w:pPr>
            <w:r w:rsidRPr="0000179E">
              <w:rPr>
                <w:color w:val="000000"/>
                <w:sz w:val="20"/>
                <w:szCs w:val="20"/>
              </w:rPr>
              <w:t xml:space="preserve">                  0.25 </w:t>
            </w:r>
          </w:p>
        </w:tc>
      </w:tr>
      <w:tr w:rsidR="003F1FF8" w:rsidRPr="0000179E" w14:paraId="78DBEF2A" w14:textId="77777777" w:rsidTr="00E60C9A">
        <w:tc>
          <w:tcPr>
            <w:tcW w:w="6090" w:type="dxa"/>
            <w:tcBorders>
              <w:bottom w:val="single" w:sz="4" w:space="0" w:color="auto"/>
            </w:tcBorders>
            <w:vAlign w:val="center"/>
          </w:tcPr>
          <w:p w14:paraId="5052378A" w14:textId="46FA56FF" w:rsidR="003F1FF8" w:rsidRPr="0000179E" w:rsidRDefault="003F1FF8" w:rsidP="003F1FF8">
            <w:pPr>
              <w:rPr>
                <w:sz w:val="20"/>
                <w:szCs w:val="20"/>
              </w:rPr>
            </w:pPr>
            <w:r w:rsidRPr="0000179E">
              <w:rPr>
                <w:color w:val="000000"/>
                <w:sz w:val="20"/>
                <w:szCs w:val="20"/>
              </w:rPr>
              <w:t>Expired / Cancelled</w:t>
            </w:r>
          </w:p>
        </w:tc>
        <w:tc>
          <w:tcPr>
            <w:tcW w:w="1488" w:type="dxa"/>
            <w:tcBorders>
              <w:bottom w:val="single" w:sz="4" w:space="0" w:color="auto"/>
            </w:tcBorders>
            <w:vAlign w:val="center"/>
          </w:tcPr>
          <w:p w14:paraId="7D29964D" w14:textId="5255E2BD" w:rsidR="003F1FF8" w:rsidRPr="0000179E" w:rsidRDefault="003F1FF8" w:rsidP="003F1FF8">
            <w:pPr>
              <w:tabs>
                <w:tab w:val="decimal" w:pos="1202"/>
              </w:tabs>
              <w:rPr>
                <w:sz w:val="20"/>
                <w:szCs w:val="20"/>
              </w:rPr>
            </w:pPr>
            <w:r w:rsidRPr="0000179E">
              <w:rPr>
                <w:color w:val="000000"/>
                <w:sz w:val="20"/>
                <w:szCs w:val="20"/>
              </w:rPr>
              <w:t>(8,790,000)</w:t>
            </w:r>
          </w:p>
        </w:tc>
        <w:tc>
          <w:tcPr>
            <w:tcW w:w="1488" w:type="dxa"/>
            <w:tcBorders>
              <w:bottom w:val="single" w:sz="4" w:space="0" w:color="auto"/>
            </w:tcBorders>
            <w:vAlign w:val="center"/>
          </w:tcPr>
          <w:p w14:paraId="3F77FAC3" w14:textId="613B9507" w:rsidR="003F1FF8" w:rsidRPr="0000179E" w:rsidRDefault="003F1FF8" w:rsidP="003F1FF8">
            <w:pPr>
              <w:tabs>
                <w:tab w:val="left" w:pos="0"/>
                <w:tab w:val="decimal" w:pos="1202"/>
              </w:tabs>
              <w:rPr>
                <w:sz w:val="20"/>
                <w:szCs w:val="20"/>
              </w:rPr>
            </w:pPr>
            <w:r w:rsidRPr="0000179E">
              <w:rPr>
                <w:color w:val="000000"/>
                <w:sz w:val="20"/>
                <w:szCs w:val="20"/>
              </w:rPr>
              <w:t xml:space="preserve">                  0.35 </w:t>
            </w:r>
          </w:p>
        </w:tc>
      </w:tr>
      <w:tr w:rsidR="003F1FF8" w:rsidRPr="0007463E" w14:paraId="7E1E9E31" w14:textId="77777777" w:rsidTr="00835C5B">
        <w:tc>
          <w:tcPr>
            <w:tcW w:w="6090" w:type="dxa"/>
            <w:tcBorders>
              <w:top w:val="single" w:sz="4" w:space="0" w:color="auto"/>
            </w:tcBorders>
            <w:vAlign w:val="center"/>
          </w:tcPr>
          <w:p w14:paraId="287326C7" w14:textId="48875F70" w:rsidR="003F1FF8" w:rsidRPr="0000179E" w:rsidRDefault="003F1FF8" w:rsidP="003F1FF8">
            <w:pPr>
              <w:rPr>
                <w:sz w:val="20"/>
                <w:szCs w:val="20"/>
              </w:rPr>
            </w:pPr>
            <w:r w:rsidRPr="0000179E">
              <w:rPr>
                <w:color w:val="000000"/>
                <w:sz w:val="20"/>
                <w:szCs w:val="20"/>
              </w:rPr>
              <w:t>Balance, December 31, 2020</w:t>
            </w:r>
          </w:p>
        </w:tc>
        <w:tc>
          <w:tcPr>
            <w:tcW w:w="1488" w:type="dxa"/>
            <w:tcBorders>
              <w:top w:val="single" w:sz="4" w:space="0" w:color="auto"/>
            </w:tcBorders>
            <w:vAlign w:val="center"/>
          </w:tcPr>
          <w:p w14:paraId="64A37855" w14:textId="1F10C986" w:rsidR="003F1FF8" w:rsidRPr="0000179E" w:rsidRDefault="003F1FF8" w:rsidP="003F1FF8">
            <w:pPr>
              <w:tabs>
                <w:tab w:val="decimal" w:pos="1202"/>
              </w:tabs>
              <w:rPr>
                <w:sz w:val="20"/>
                <w:szCs w:val="20"/>
              </w:rPr>
            </w:pPr>
            <w:r w:rsidRPr="0000179E">
              <w:rPr>
                <w:color w:val="000000"/>
                <w:sz w:val="20"/>
                <w:szCs w:val="20"/>
              </w:rPr>
              <w:t xml:space="preserve">8,281,400 </w:t>
            </w:r>
          </w:p>
        </w:tc>
        <w:tc>
          <w:tcPr>
            <w:tcW w:w="1488" w:type="dxa"/>
            <w:tcBorders>
              <w:top w:val="single" w:sz="4" w:space="0" w:color="auto"/>
            </w:tcBorders>
            <w:vAlign w:val="center"/>
          </w:tcPr>
          <w:p w14:paraId="6E4C3F20" w14:textId="39DA64D0" w:rsidR="003F1FF8" w:rsidRPr="0000179E" w:rsidRDefault="003F1FF8" w:rsidP="003F1FF8">
            <w:pPr>
              <w:tabs>
                <w:tab w:val="left" w:pos="0"/>
                <w:tab w:val="decimal" w:pos="1202"/>
              </w:tabs>
              <w:rPr>
                <w:sz w:val="20"/>
                <w:szCs w:val="20"/>
              </w:rPr>
            </w:pPr>
            <w:r w:rsidRPr="0000179E">
              <w:rPr>
                <w:color w:val="000000"/>
                <w:sz w:val="20"/>
                <w:szCs w:val="20"/>
              </w:rPr>
              <w:t xml:space="preserve"> $               0.25 </w:t>
            </w:r>
          </w:p>
        </w:tc>
      </w:tr>
      <w:tr w:rsidR="003F1FF8" w:rsidRPr="0000179E" w14:paraId="46532BE6" w14:textId="77777777" w:rsidTr="00835C5B">
        <w:tc>
          <w:tcPr>
            <w:tcW w:w="6090" w:type="dxa"/>
            <w:vAlign w:val="center"/>
          </w:tcPr>
          <w:p w14:paraId="77A7A978" w14:textId="20BC2DF0" w:rsidR="003F1FF8" w:rsidRPr="0000179E" w:rsidRDefault="003F1FF8" w:rsidP="003F1FF8">
            <w:pPr>
              <w:rPr>
                <w:sz w:val="20"/>
                <w:szCs w:val="20"/>
              </w:rPr>
            </w:pPr>
            <w:r w:rsidRPr="0000179E">
              <w:rPr>
                <w:color w:val="000000"/>
                <w:sz w:val="20"/>
                <w:szCs w:val="20"/>
              </w:rPr>
              <w:t>Granted</w:t>
            </w:r>
          </w:p>
        </w:tc>
        <w:tc>
          <w:tcPr>
            <w:tcW w:w="1488" w:type="dxa"/>
            <w:vAlign w:val="center"/>
          </w:tcPr>
          <w:p w14:paraId="761D618B" w14:textId="472541A9" w:rsidR="003F1FF8" w:rsidRPr="0000179E" w:rsidRDefault="0000179E" w:rsidP="003F1FF8">
            <w:pPr>
              <w:tabs>
                <w:tab w:val="decimal" w:pos="1202"/>
              </w:tabs>
              <w:rPr>
                <w:sz w:val="20"/>
                <w:szCs w:val="20"/>
              </w:rPr>
            </w:pPr>
            <w:r w:rsidRPr="0000179E">
              <w:rPr>
                <w:color w:val="000000"/>
                <w:sz w:val="20"/>
                <w:szCs w:val="20"/>
              </w:rPr>
              <w:t>2,300,499</w:t>
            </w:r>
            <w:r w:rsidR="003F1FF8" w:rsidRPr="0000179E">
              <w:rPr>
                <w:color w:val="000000"/>
                <w:sz w:val="20"/>
                <w:szCs w:val="20"/>
              </w:rPr>
              <w:t xml:space="preserve"> </w:t>
            </w:r>
          </w:p>
        </w:tc>
        <w:tc>
          <w:tcPr>
            <w:tcW w:w="1488" w:type="dxa"/>
            <w:vAlign w:val="center"/>
          </w:tcPr>
          <w:p w14:paraId="60340290" w14:textId="2AB962D3" w:rsidR="003F1FF8" w:rsidRPr="0000179E" w:rsidRDefault="003F1FF8" w:rsidP="003F1FF8">
            <w:pPr>
              <w:tabs>
                <w:tab w:val="left" w:pos="0"/>
                <w:tab w:val="decimal" w:pos="1202"/>
              </w:tabs>
              <w:rPr>
                <w:sz w:val="20"/>
                <w:szCs w:val="20"/>
              </w:rPr>
            </w:pPr>
            <w:r w:rsidRPr="0000179E">
              <w:rPr>
                <w:color w:val="000000"/>
                <w:sz w:val="20"/>
                <w:szCs w:val="20"/>
              </w:rPr>
              <w:t xml:space="preserve">                  0.40 </w:t>
            </w:r>
          </w:p>
        </w:tc>
      </w:tr>
      <w:tr w:rsidR="00316055" w:rsidRPr="0000179E" w14:paraId="03EA09F9" w14:textId="77777777" w:rsidTr="00C53768">
        <w:tc>
          <w:tcPr>
            <w:tcW w:w="6090" w:type="dxa"/>
            <w:tcBorders>
              <w:bottom w:val="single" w:sz="4" w:space="0" w:color="auto"/>
            </w:tcBorders>
            <w:vAlign w:val="center"/>
          </w:tcPr>
          <w:p w14:paraId="0133F02D" w14:textId="77777777" w:rsidR="00316055" w:rsidRPr="0000179E" w:rsidRDefault="00316055" w:rsidP="00C53768">
            <w:pPr>
              <w:rPr>
                <w:sz w:val="20"/>
                <w:szCs w:val="20"/>
              </w:rPr>
            </w:pPr>
            <w:r w:rsidRPr="0000179E">
              <w:rPr>
                <w:color w:val="000000"/>
                <w:sz w:val="20"/>
                <w:szCs w:val="20"/>
              </w:rPr>
              <w:t>Expired / Cancelled</w:t>
            </w:r>
          </w:p>
        </w:tc>
        <w:tc>
          <w:tcPr>
            <w:tcW w:w="1488" w:type="dxa"/>
            <w:tcBorders>
              <w:bottom w:val="single" w:sz="4" w:space="0" w:color="auto"/>
            </w:tcBorders>
            <w:vAlign w:val="center"/>
          </w:tcPr>
          <w:p w14:paraId="409196E2" w14:textId="71E9C850" w:rsidR="00316055" w:rsidRPr="0000179E" w:rsidRDefault="00316055" w:rsidP="00C53768">
            <w:pPr>
              <w:tabs>
                <w:tab w:val="decimal" w:pos="1202"/>
              </w:tabs>
              <w:rPr>
                <w:sz w:val="20"/>
                <w:szCs w:val="20"/>
              </w:rPr>
            </w:pPr>
            <w:r w:rsidRPr="0000179E">
              <w:rPr>
                <w:color w:val="000000"/>
                <w:sz w:val="20"/>
                <w:szCs w:val="20"/>
              </w:rPr>
              <w:t>(</w:t>
            </w:r>
            <w:r>
              <w:rPr>
                <w:color w:val="000000"/>
                <w:sz w:val="20"/>
                <w:szCs w:val="20"/>
              </w:rPr>
              <w:t>200,000</w:t>
            </w:r>
            <w:r w:rsidRPr="0000179E">
              <w:rPr>
                <w:color w:val="000000"/>
                <w:sz w:val="20"/>
                <w:szCs w:val="20"/>
              </w:rPr>
              <w:t>)</w:t>
            </w:r>
          </w:p>
        </w:tc>
        <w:tc>
          <w:tcPr>
            <w:tcW w:w="1488" w:type="dxa"/>
            <w:tcBorders>
              <w:bottom w:val="single" w:sz="4" w:space="0" w:color="auto"/>
            </w:tcBorders>
            <w:vAlign w:val="center"/>
          </w:tcPr>
          <w:p w14:paraId="2C564035" w14:textId="77777777" w:rsidR="00316055" w:rsidRPr="0000179E" w:rsidRDefault="00316055" w:rsidP="00C53768">
            <w:pPr>
              <w:tabs>
                <w:tab w:val="left" w:pos="0"/>
                <w:tab w:val="decimal" w:pos="1202"/>
              </w:tabs>
              <w:rPr>
                <w:sz w:val="20"/>
                <w:szCs w:val="20"/>
              </w:rPr>
            </w:pPr>
            <w:r w:rsidRPr="0000179E">
              <w:rPr>
                <w:color w:val="000000"/>
                <w:sz w:val="20"/>
                <w:szCs w:val="20"/>
              </w:rPr>
              <w:t xml:space="preserve">                  0.35 </w:t>
            </w:r>
          </w:p>
        </w:tc>
      </w:tr>
      <w:tr w:rsidR="003F1FF8" w:rsidRPr="0000179E" w14:paraId="0B2CB7DD" w14:textId="77777777" w:rsidTr="00802853">
        <w:tc>
          <w:tcPr>
            <w:tcW w:w="6090" w:type="dxa"/>
            <w:tcBorders>
              <w:top w:val="single" w:sz="4" w:space="0" w:color="auto"/>
              <w:bottom w:val="single" w:sz="4" w:space="0" w:color="auto"/>
            </w:tcBorders>
            <w:vAlign w:val="center"/>
          </w:tcPr>
          <w:p w14:paraId="7FC7EB5F" w14:textId="79755B57" w:rsidR="003F1FF8" w:rsidRPr="0000179E" w:rsidRDefault="003F1FF8" w:rsidP="003F1FF8">
            <w:pPr>
              <w:rPr>
                <w:sz w:val="20"/>
                <w:szCs w:val="20"/>
              </w:rPr>
            </w:pPr>
            <w:r w:rsidRPr="0000179E">
              <w:rPr>
                <w:color w:val="000000"/>
                <w:sz w:val="20"/>
                <w:szCs w:val="20"/>
              </w:rPr>
              <w:t xml:space="preserve">Balance, </w:t>
            </w:r>
            <w:r w:rsidR="00C117D6" w:rsidRPr="0000179E">
              <w:rPr>
                <w:color w:val="000000"/>
                <w:sz w:val="20"/>
                <w:szCs w:val="20"/>
              </w:rPr>
              <w:t>June 30</w:t>
            </w:r>
            <w:r w:rsidRPr="0000179E">
              <w:rPr>
                <w:color w:val="000000"/>
                <w:sz w:val="20"/>
                <w:szCs w:val="20"/>
              </w:rPr>
              <w:t xml:space="preserve">, </w:t>
            </w:r>
            <w:r w:rsidR="005A6826" w:rsidRPr="0000179E">
              <w:rPr>
                <w:color w:val="000000"/>
                <w:sz w:val="20"/>
                <w:szCs w:val="20"/>
              </w:rPr>
              <w:t>2021</w:t>
            </w:r>
          </w:p>
        </w:tc>
        <w:tc>
          <w:tcPr>
            <w:tcW w:w="1488" w:type="dxa"/>
            <w:tcBorders>
              <w:top w:val="single" w:sz="4" w:space="0" w:color="auto"/>
              <w:bottom w:val="single" w:sz="4" w:space="0" w:color="auto"/>
            </w:tcBorders>
            <w:vAlign w:val="center"/>
          </w:tcPr>
          <w:p w14:paraId="339D8D07" w14:textId="340B5E11" w:rsidR="003F1FF8" w:rsidRPr="0000179E" w:rsidRDefault="003F1FF8" w:rsidP="003F1FF8">
            <w:pPr>
              <w:tabs>
                <w:tab w:val="decimal" w:pos="1202"/>
              </w:tabs>
              <w:rPr>
                <w:sz w:val="20"/>
                <w:szCs w:val="20"/>
              </w:rPr>
            </w:pPr>
            <w:r w:rsidRPr="0000179E">
              <w:rPr>
                <w:color w:val="000000"/>
                <w:sz w:val="20"/>
                <w:szCs w:val="20"/>
              </w:rPr>
              <w:t>10,</w:t>
            </w:r>
            <w:r w:rsidR="00316055">
              <w:rPr>
                <w:color w:val="000000"/>
                <w:sz w:val="20"/>
                <w:szCs w:val="20"/>
              </w:rPr>
              <w:t>3</w:t>
            </w:r>
            <w:r w:rsidR="0000179E" w:rsidRPr="0000179E">
              <w:rPr>
                <w:color w:val="000000"/>
                <w:sz w:val="20"/>
                <w:szCs w:val="20"/>
              </w:rPr>
              <w:t>81,899</w:t>
            </w:r>
            <w:r w:rsidRPr="0000179E">
              <w:rPr>
                <w:color w:val="000000"/>
                <w:sz w:val="20"/>
                <w:szCs w:val="20"/>
              </w:rPr>
              <w:t xml:space="preserve"> </w:t>
            </w:r>
          </w:p>
        </w:tc>
        <w:tc>
          <w:tcPr>
            <w:tcW w:w="1488" w:type="dxa"/>
            <w:tcBorders>
              <w:top w:val="single" w:sz="4" w:space="0" w:color="auto"/>
              <w:bottom w:val="single" w:sz="4" w:space="0" w:color="auto"/>
            </w:tcBorders>
            <w:vAlign w:val="center"/>
          </w:tcPr>
          <w:p w14:paraId="3E382693" w14:textId="509A8E3B" w:rsidR="003F1FF8" w:rsidRPr="0000179E" w:rsidRDefault="003F1FF8" w:rsidP="003F1FF8">
            <w:pPr>
              <w:tabs>
                <w:tab w:val="left" w:pos="0"/>
                <w:tab w:val="decimal" w:pos="1202"/>
              </w:tabs>
              <w:rPr>
                <w:sz w:val="20"/>
                <w:szCs w:val="20"/>
              </w:rPr>
            </w:pPr>
            <w:r w:rsidRPr="0000179E">
              <w:rPr>
                <w:color w:val="000000"/>
                <w:sz w:val="20"/>
                <w:szCs w:val="20"/>
              </w:rPr>
              <w:t> </w:t>
            </w:r>
            <w:r w:rsidR="005A6826" w:rsidRPr="0000179E">
              <w:rPr>
                <w:color w:val="000000"/>
                <w:sz w:val="20"/>
                <w:szCs w:val="20"/>
              </w:rPr>
              <w:t>$               0.28</w:t>
            </w:r>
          </w:p>
        </w:tc>
      </w:tr>
    </w:tbl>
    <w:p w14:paraId="6116C197" w14:textId="653DD693" w:rsidR="00D70116" w:rsidRPr="0000179E" w:rsidRDefault="00D70116" w:rsidP="00D243AF">
      <w:pPr>
        <w:jc w:val="both"/>
        <w:rPr>
          <w:sz w:val="20"/>
          <w:szCs w:val="20"/>
        </w:rPr>
      </w:pPr>
    </w:p>
    <w:p w14:paraId="4F1AD710" w14:textId="33248B57" w:rsidR="00D70116" w:rsidRPr="0000179E" w:rsidRDefault="00D70116" w:rsidP="00D70116">
      <w:pPr>
        <w:ind w:left="284"/>
        <w:jc w:val="both"/>
        <w:rPr>
          <w:sz w:val="20"/>
          <w:szCs w:val="20"/>
        </w:rPr>
      </w:pPr>
      <w:r w:rsidRPr="0000179E">
        <w:rPr>
          <w:sz w:val="20"/>
          <w:szCs w:val="20"/>
        </w:rPr>
        <w:t xml:space="preserve">The weighted average remaining contractual life of the warrants outstanding as </w:t>
      </w:r>
      <w:proofErr w:type="gramStart"/>
      <w:r w:rsidRPr="0000179E">
        <w:rPr>
          <w:sz w:val="20"/>
          <w:szCs w:val="20"/>
        </w:rPr>
        <w:t>at</w:t>
      </w:r>
      <w:proofErr w:type="gramEnd"/>
      <w:r w:rsidRPr="0000179E">
        <w:rPr>
          <w:sz w:val="20"/>
          <w:szCs w:val="20"/>
        </w:rPr>
        <w:t xml:space="preserve"> </w:t>
      </w:r>
      <w:r w:rsidR="00C117D6" w:rsidRPr="0000179E">
        <w:rPr>
          <w:sz w:val="20"/>
          <w:szCs w:val="20"/>
        </w:rPr>
        <w:t>June 30</w:t>
      </w:r>
      <w:r w:rsidR="003F1FF8" w:rsidRPr="0000179E">
        <w:rPr>
          <w:sz w:val="20"/>
          <w:szCs w:val="20"/>
        </w:rPr>
        <w:t>, 2021</w:t>
      </w:r>
      <w:r w:rsidRPr="0000179E">
        <w:rPr>
          <w:sz w:val="20"/>
          <w:szCs w:val="20"/>
        </w:rPr>
        <w:t xml:space="preserve"> is 1.</w:t>
      </w:r>
      <w:r w:rsidR="0000179E" w:rsidRPr="0000179E">
        <w:rPr>
          <w:sz w:val="20"/>
          <w:szCs w:val="20"/>
        </w:rPr>
        <w:t>2</w:t>
      </w:r>
      <w:r w:rsidR="00316055">
        <w:rPr>
          <w:sz w:val="20"/>
          <w:szCs w:val="20"/>
        </w:rPr>
        <w:t>9</w:t>
      </w:r>
      <w:r w:rsidRPr="0000179E">
        <w:rPr>
          <w:sz w:val="20"/>
          <w:szCs w:val="20"/>
        </w:rPr>
        <w:t xml:space="preserve"> years. Details of warrants outstanding are as follows:</w:t>
      </w:r>
      <w:r w:rsidRPr="0000179E">
        <w:rPr>
          <w:sz w:val="20"/>
          <w:szCs w:val="20"/>
        </w:rPr>
        <w:tab/>
      </w:r>
    </w:p>
    <w:p w14:paraId="53B95DA6" w14:textId="77777777" w:rsidR="00D70116" w:rsidRPr="0000179E" w:rsidRDefault="00D70116" w:rsidP="00D70116">
      <w:pPr>
        <w:ind w:left="284"/>
        <w:jc w:val="both"/>
        <w:rPr>
          <w:sz w:val="20"/>
          <w:szCs w:val="20"/>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701"/>
        <w:gridCol w:w="1701"/>
      </w:tblGrid>
      <w:tr w:rsidR="00D70116" w:rsidRPr="0000179E" w14:paraId="5A9598BB" w14:textId="77777777" w:rsidTr="00E60C9A">
        <w:tc>
          <w:tcPr>
            <w:tcW w:w="5812" w:type="dxa"/>
            <w:tcBorders>
              <w:top w:val="double" w:sz="4" w:space="0" w:color="auto"/>
              <w:bottom w:val="single" w:sz="4" w:space="0" w:color="auto"/>
            </w:tcBorders>
          </w:tcPr>
          <w:p w14:paraId="094A852C" w14:textId="77777777" w:rsidR="00D70116" w:rsidRPr="0000179E" w:rsidRDefault="00D70116" w:rsidP="00E60C9A">
            <w:pPr>
              <w:rPr>
                <w:b/>
                <w:bCs/>
                <w:sz w:val="20"/>
                <w:szCs w:val="20"/>
              </w:rPr>
            </w:pPr>
          </w:p>
          <w:p w14:paraId="0AE390A0" w14:textId="77777777" w:rsidR="00D70116" w:rsidRPr="0000179E" w:rsidRDefault="00D70116" w:rsidP="00E60C9A">
            <w:pPr>
              <w:rPr>
                <w:sz w:val="20"/>
                <w:szCs w:val="20"/>
              </w:rPr>
            </w:pPr>
            <w:r w:rsidRPr="0000179E">
              <w:rPr>
                <w:b/>
                <w:bCs/>
                <w:sz w:val="20"/>
                <w:szCs w:val="20"/>
              </w:rPr>
              <w:t>Expiry Date</w:t>
            </w:r>
          </w:p>
        </w:tc>
        <w:tc>
          <w:tcPr>
            <w:tcW w:w="1701" w:type="dxa"/>
            <w:tcBorders>
              <w:top w:val="double" w:sz="4" w:space="0" w:color="auto"/>
              <w:bottom w:val="single" w:sz="4" w:space="0" w:color="auto"/>
            </w:tcBorders>
          </w:tcPr>
          <w:p w14:paraId="573000F9" w14:textId="77777777" w:rsidR="00D70116" w:rsidRPr="0000179E" w:rsidRDefault="00D70116" w:rsidP="00E60C9A">
            <w:pPr>
              <w:tabs>
                <w:tab w:val="decimal" w:pos="1202"/>
              </w:tabs>
              <w:rPr>
                <w:b/>
                <w:bCs/>
                <w:sz w:val="20"/>
                <w:szCs w:val="20"/>
              </w:rPr>
            </w:pPr>
          </w:p>
          <w:p w14:paraId="67A228CC" w14:textId="77777777" w:rsidR="00D70116" w:rsidRPr="0000179E" w:rsidRDefault="00D70116" w:rsidP="00E60C9A">
            <w:pPr>
              <w:tabs>
                <w:tab w:val="decimal" w:pos="1202"/>
              </w:tabs>
              <w:rPr>
                <w:b/>
                <w:bCs/>
                <w:sz w:val="20"/>
                <w:szCs w:val="20"/>
              </w:rPr>
            </w:pPr>
            <w:r w:rsidRPr="0000179E">
              <w:rPr>
                <w:b/>
                <w:bCs/>
                <w:sz w:val="20"/>
                <w:szCs w:val="20"/>
              </w:rPr>
              <w:t>Exercise Price</w:t>
            </w:r>
          </w:p>
        </w:tc>
        <w:tc>
          <w:tcPr>
            <w:tcW w:w="1701" w:type="dxa"/>
            <w:tcBorders>
              <w:top w:val="double" w:sz="4" w:space="0" w:color="auto"/>
              <w:bottom w:val="single" w:sz="4" w:space="0" w:color="auto"/>
            </w:tcBorders>
          </w:tcPr>
          <w:p w14:paraId="5303F9DE" w14:textId="77777777" w:rsidR="00D70116" w:rsidRPr="0000179E" w:rsidRDefault="00D70116" w:rsidP="00E60C9A">
            <w:pPr>
              <w:tabs>
                <w:tab w:val="decimal" w:pos="1202"/>
              </w:tabs>
              <w:rPr>
                <w:b/>
                <w:bCs/>
                <w:sz w:val="20"/>
                <w:szCs w:val="20"/>
              </w:rPr>
            </w:pPr>
            <w:r w:rsidRPr="0000179E">
              <w:rPr>
                <w:b/>
                <w:bCs/>
                <w:sz w:val="20"/>
                <w:szCs w:val="20"/>
              </w:rPr>
              <w:t>Number Outstanding</w:t>
            </w:r>
          </w:p>
        </w:tc>
      </w:tr>
      <w:tr w:rsidR="003F1FF8" w:rsidRPr="0000179E" w14:paraId="78E3E693" w14:textId="77777777" w:rsidTr="00E60C9A">
        <w:tc>
          <w:tcPr>
            <w:tcW w:w="5812" w:type="dxa"/>
            <w:tcBorders>
              <w:top w:val="single" w:sz="4" w:space="0" w:color="auto"/>
            </w:tcBorders>
            <w:vAlign w:val="center"/>
          </w:tcPr>
          <w:p w14:paraId="38112B08" w14:textId="59CADD65" w:rsidR="003F1FF8" w:rsidRPr="0000179E" w:rsidRDefault="0000179E" w:rsidP="003F1FF8">
            <w:pPr>
              <w:rPr>
                <w:sz w:val="20"/>
                <w:szCs w:val="20"/>
              </w:rPr>
            </w:pPr>
            <w:bookmarkStart w:id="10" w:name="_Hlk65581037"/>
            <w:r w:rsidRPr="0000179E">
              <w:rPr>
                <w:color w:val="000000"/>
                <w:sz w:val="20"/>
                <w:szCs w:val="20"/>
              </w:rPr>
              <w:t>October 22, 2022</w:t>
            </w:r>
          </w:p>
        </w:tc>
        <w:tc>
          <w:tcPr>
            <w:tcW w:w="1701" w:type="dxa"/>
            <w:tcBorders>
              <w:top w:val="single" w:sz="4" w:space="0" w:color="auto"/>
            </w:tcBorders>
            <w:vAlign w:val="center"/>
          </w:tcPr>
          <w:p w14:paraId="05AC975E" w14:textId="6D103D69" w:rsidR="003F1FF8" w:rsidRPr="0000179E" w:rsidRDefault="003F1FF8" w:rsidP="003F1FF8">
            <w:pPr>
              <w:tabs>
                <w:tab w:val="left" w:pos="0"/>
                <w:tab w:val="decimal" w:pos="1202"/>
              </w:tabs>
              <w:rPr>
                <w:sz w:val="20"/>
                <w:szCs w:val="20"/>
              </w:rPr>
            </w:pPr>
            <w:r w:rsidRPr="0000179E">
              <w:rPr>
                <w:color w:val="000000"/>
                <w:sz w:val="20"/>
                <w:szCs w:val="20"/>
              </w:rPr>
              <w:t xml:space="preserve"> $              0.25 </w:t>
            </w:r>
          </w:p>
        </w:tc>
        <w:tc>
          <w:tcPr>
            <w:tcW w:w="1701" w:type="dxa"/>
            <w:tcBorders>
              <w:top w:val="single" w:sz="4" w:space="0" w:color="auto"/>
            </w:tcBorders>
            <w:vAlign w:val="center"/>
          </w:tcPr>
          <w:p w14:paraId="4937B33C" w14:textId="64DD3EC8" w:rsidR="003F1FF8" w:rsidRPr="0000179E" w:rsidRDefault="009668B3" w:rsidP="003F1FF8">
            <w:pPr>
              <w:tabs>
                <w:tab w:val="left" w:pos="0"/>
                <w:tab w:val="decimal" w:pos="1202"/>
              </w:tabs>
              <w:rPr>
                <w:sz w:val="20"/>
                <w:szCs w:val="20"/>
              </w:rPr>
            </w:pPr>
            <w:r w:rsidRPr="0000179E">
              <w:rPr>
                <w:sz w:val="20"/>
                <w:szCs w:val="20"/>
              </w:rPr>
              <w:tab/>
            </w:r>
            <w:r w:rsidR="003F1FF8" w:rsidRPr="0000179E">
              <w:rPr>
                <w:sz w:val="20"/>
                <w:szCs w:val="20"/>
              </w:rPr>
              <w:t>1,886,234</w:t>
            </w:r>
          </w:p>
        </w:tc>
      </w:tr>
      <w:tr w:rsidR="003F1FF8" w:rsidRPr="0000179E" w14:paraId="2D69D409" w14:textId="77777777" w:rsidTr="003F1FF8">
        <w:tc>
          <w:tcPr>
            <w:tcW w:w="5812" w:type="dxa"/>
            <w:vAlign w:val="center"/>
          </w:tcPr>
          <w:p w14:paraId="5A11972D" w14:textId="5D1C8AF0" w:rsidR="003F1FF8" w:rsidRPr="0000179E" w:rsidRDefault="0000179E" w:rsidP="003F1FF8">
            <w:pPr>
              <w:rPr>
                <w:sz w:val="20"/>
                <w:szCs w:val="20"/>
              </w:rPr>
            </w:pPr>
            <w:r w:rsidRPr="0000179E">
              <w:rPr>
                <w:color w:val="000000"/>
                <w:sz w:val="20"/>
                <w:szCs w:val="20"/>
              </w:rPr>
              <w:t>December 7, 2022</w:t>
            </w:r>
          </w:p>
        </w:tc>
        <w:tc>
          <w:tcPr>
            <w:tcW w:w="1701" w:type="dxa"/>
            <w:vAlign w:val="center"/>
          </w:tcPr>
          <w:p w14:paraId="6FE18A43" w14:textId="1ABFC863" w:rsidR="003F1FF8" w:rsidRPr="0000179E" w:rsidRDefault="003F1FF8" w:rsidP="003F1FF8">
            <w:pPr>
              <w:tabs>
                <w:tab w:val="left" w:pos="0"/>
                <w:tab w:val="decimal" w:pos="1202"/>
              </w:tabs>
              <w:rPr>
                <w:sz w:val="20"/>
                <w:szCs w:val="20"/>
              </w:rPr>
            </w:pPr>
            <w:r w:rsidRPr="0000179E">
              <w:rPr>
                <w:color w:val="000000"/>
                <w:sz w:val="20"/>
                <w:szCs w:val="20"/>
              </w:rPr>
              <w:t xml:space="preserve"> $              0.25 </w:t>
            </w:r>
          </w:p>
        </w:tc>
        <w:tc>
          <w:tcPr>
            <w:tcW w:w="1701" w:type="dxa"/>
            <w:vAlign w:val="center"/>
          </w:tcPr>
          <w:p w14:paraId="3A822247" w14:textId="6BBA4B07" w:rsidR="003F1FF8" w:rsidRPr="0000179E" w:rsidRDefault="009668B3" w:rsidP="003F1FF8">
            <w:pPr>
              <w:tabs>
                <w:tab w:val="left" w:pos="0"/>
                <w:tab w:val="decimal" w:pos="1202"/>
              </w:tabs>
              <w:rPr>
                <w:sz w:val="20"/>
                <w:szCs w:val="20"/>
              </w:rPr>
            </w:pPr>
            <w:r w:rsidRPr="0000179E">
              <w:rPr>
                <w:sz w:val="20"/>
                <w:szCs w:val="20"/>
              </w:rPr>
              <w:tab/>
            </w:r>
            <w:r w:rsidR="003F1FF8" w:rsidRPr="0000179E">
              <w:rPr>
                <w:sz w:val="20"/>
                <w:szCs w:val="20"/>
              </w:rPr>
              <w:t>1,723,500</w:t>
            </w:r>
          </w:p>
        </w:tc>
      </w:tr>
      <w:tr w:rsidR="003F1FF8" w:rsidRPr="0000179E" w14:paraId="00972640" w14:textId="77777777" w:rsidTr="003F1FF8">
        <w:tc>
          <w:tcPr>
            <w:tcW w:w="5812" w:type="dxa"/>
            <w:vAlign w:val="center"/>
          </w:tcPr>
          <w:p w14:paraId="4FF839BB" w14:textId="0002EFFF" w:rsidR="003F1FF8" w:rsidRPr="0000179E" w:rsidRDefault="0000179E" w:rsidP="003F1FF8">
            <w:pPr>
              <w:rPr>
                <w:sz w:val="20"/>
                <w:szCs w:val="20"/>
              </w:rPr>
            </w:pPr>
            <w:r w:rsidRPr="0000179E">
              <w:rPr>
                <w:color w:val="000000"/>
                <w:sz w:val="20"/>
                <w:szCs w:val="20"/>
              </w:rPr>
              <w:t>December 23, 2022</w:t>
            </w:r>
          </w:p>
        </w:tc>
        <w:tc>
          <w:tcPr>
            <w:tcW w:w="1701" w:type="dxa"/>
            <w:vAlign w:val="center"/>
          </w:tcPr>
          <w:p w14:paraId="00CB9A52" w14:textId="207555D5" w:rsidR="003F1FF8" w:rsidRPr="0000179E" w:rsidRDefault="003F1FF8" w:rsidP="003F1FF8">
            <w:pPr>
              <w:tabs>
                <w:tab w:val="left" w:pos="0"/>
                <w:tab w:val="decimal" w:pos="1202"/>
              </w:tabs>
              <w:rPr>
                <w:sz w:val="20"/>
                <w:szCs w:val="20"/>
              </w:rPr>
            </w:pPr>
            <w:r w:rsidRPr="0000179E">
              <w:rPr>
                <w:color w:val="000000"/>
                <w:sz w:val="20"/>
                <w:szCs w:val="20"/>
              </w:rPr>
              <w:t xml:space="preserve"> $              0.25 </w:t>
            </w:r>
          </w:p>
        </w:tc>
        <w:tc>
          <w:tcPr>
            <w:tcW w:w="1701" w:type="dxa"/>
            <w:vAlign w:val="center"/>
          </w:tcPr>
          <w:p w14:paraId="1DEBF809" w14:textId="05496527" w:rsidR="003F1FF8" w:rsidRPr="0000179E" w:rsidRDefault="009668B3" w:rsidP="003F1FF8">
            <w:pPr>
              <w:tabs>
                <w:tab w:val="left" w:pos="0"/>
                <w:tab w:val="decimal" w:pos="1202"/>
              </w:tabs>
              <w:rPr>
                <w:sz w:val="20"/>
                <w:szCs w:val="20"/>
              </w:rPr>
            </w:pPr>
            <w:r w:rsidRPr="0000179E">
              <w:rPr>
                <w:sz w:val="20"/>
                <w:szCs w:val="20"/>
              </w:rPr>
              <w:tab/>
            </w:r>
            <w:r w:rsidR="003F1FF8" w:rsidRPr="0000179E">
              <w:rPr>
                <w:sz w:val="20"/>
                <w:szCs w:val="20"/>
              </w:rPr>
              <w:t>4,671,666</w:t>
            </w:r>
          </w:p>
        </w:tc>
      </w:tr>
      <w:tr w:rsidR="003F1FF8" w:rsidRPr="0000179E" w14:paraId="7E816E5C" w14:textId="77777777" w:rsidTr="0000179E">
        <w:tc>
          <w:tcPr>
            <w:tcW w:w="5812" w:type="dxa"/>
            <w:vAlign w:val="center"/>
          </w:tcPr>
          <w:p w14:paraId="36514642" w14:textId="129D4588" w:rsidR="003F1FF8" w:rsidRPr="0000179E" w:rsidRDefault="0000179E" w:rsidP="003F1FF8">
            <w:pPr>
              <w:rPr>
                <w:sz w:val="20"/>
                <w:szCs w:val="20"/>
              </w:rPr>
            </w:pPr>
            <w:r w:rsidRPr="0000179E">
              <w:rPr>
                <w:color w:val="000000"/>
                <w:sz w:val="20"/>
                <w:szCs w:val="20"/>
              </w:rPr>
              <w:t>February 2, 2022</w:t>
            </w:r>
          </w:p>
        </w:tc>
        <w:tc>
          <w:tcPr>
            <w:tcW w:w="1701" w:type="dxa"/>
            <w:vAlign w:val="center"/>
          </w:tcPr>
          <w:p w14:paraId="6701297E" w14:textId="4747CA0C" w:rsidR="003F1FF8" w:rsidRPr="0000179E" w:rsidRDefault="003F1FF8" w:rsidP="003F1FF8">
            <w:pPr>
              <w:tabs>
                <w:tab w:val="left" w:pos="0"/>
                <w:tab w:val="decimal" w:pos="1202"/>
              </w:tabs>
              <w:rPr>
                <w:sz w:val="20"/>
                <w:szCs w:val="20"/>
              </w:rPr>
            </w:pPr>
            <w:r w:rsidRPr="0000179E">
              <w:rPr>
                <w:color w:val="000000"/>
                <w:sz w:val="20"/>
                <w:szCs w:val="20"/>
              </w:rPr>
              <w:t xml:space="preserve"> $              0.35 </w:t>
            </w:r>
          </w:p>
        </w:tc>
        <w:tc>
          <w:tcPr>
            <w:tcW w:w="1701" w:type="dxa"/>
            <w:vAlign w:val="center"/>
          </w:tcPr>
          <w:p w14:paraId="32A1A69C" w14:textId="1C02684B" w:rsidR="003F1FF8" w:rsidRPr="0000179E" w:rsidRDefault="009668B3" w:rsidP="003F1FF8">
            <w:pPr>
              <w:tabs>
                <w:tab w:val="left" w:pos="0"/>
                <w:tab w:val="decimal" w:pos="1202"/>
              </w:tabs>
              <w:rPr>
                <w:sz w:val="20"/>
                <w:szCs w:val="20"/>
              </w:rPr>
            </w:pPr>
            <w:r w:rsidRPr="0000179E">
              <w:rPr>
                <w:sz w:val="20"/>
                <w:szCs w:val="20"/>
              </w:rPr>
              <w:tab/>
            </w:r>
            <w:r w:rsidR="00316055">
              <w:rPr>
                <w:sz w:val="20"/>
                <w:szCs w:val="20"/>
              </w:rPr>
              <w:t>800</w:t>
            </w:r>
            <w:r w:rsidR="003F1FF8" w:rsidRPr="0000179E">
              <w:rPr>
                <w:sz w:val="20"/>
                <w:szCs w:val="20"/>
              </w:rPr>
              <w:t>,000</w:t>
            </w:r>
          </w:p>
        </w:tc>
      </w:tr>
      <w:tr w:rsidR="003F1FF8" w:rsidRPr="0000179E" w14:paraId="7ABAA0CA" w14:textId="77777777" w:rsidTr="0000179E">
        <w:tc>
          <w:tcPr>
            <w:tcW w:w="5812" w:type="dxa"/>
            <w:vAlign w:val="center"/>
          </w:tcPr>
          <w:p w14:paraId="45FB7B99" w14:textId="566D4943" w:rsidR="003F1FF8" w:rsidRPr="0000179E" w:rsidRDefault="0000179E" w:rsidP="003F1FF8">
            <w:pPr>
              <w:rPr>
                <w:sz w:val="20"/>
                <w:szCs w:val="20"/>
              </w:rPr>
            </w:pPr>
            <w:r w:rsidRPr="0000179E">
              <w:rPr>
                <w:color w:val="000000"/>
                <w:sz w:val="20"/>
                <w:szCs w:val="20"/>
              </w:rPr>
              <w:t>March 25, 2022</w:t>
            </w:r>
          </w:p>
        </w:tc>
        <w:tc>
          <w:tcPr>
            <w:tcW w:w="1701" w:type="dxa"/>
            <w:vAlign w:val="center"/>
          </w:tcPr>
          <w:p w14:paraId="5BC16D6E" w14:textId="2E9C54BD" w:rsidR="003F1FF8" w:rsidRPr="0000179E" w:rsidRDefault="003F1FF8" w:rsidP="003F1FF8">
            <w:pPr>
              <w:tabs>
                <w:tab w:val="left" w:pos="0"/>
                <w:tab w:val="decimal" w:pos="1202"/>
              </w:tabs>
              <w:rPr>
                <w:sz w:val="20"/>
                <w:szCs w:val="20"/>
              </w:rPr>
            </w:pPr>
            <w:r w:rsidRPr="0000179E">
              <w:rPr>
                <w:color w:val="000000"/>
                <w:sz w:val="20"/>
                <w:szCs w:val="20"/>
              </w:rPr>
              <w:t xml:space="preserve"> $              0.45 </w:t>
            </w:r>
          </w:p>
        </w:tc>
        <w:tc>
          <w:tcPr>
            <w:tcW w:w="1701" w:type="dxa"/>
            <w:vAlign w:val="center"/>
          </w:tcPr>
          <w:p w14:paraId="268FEE6D" w14:textId="15A7805B" w:rsidR="003F1FF8" w:rsidRPr="0000179E" w:rsidRDefault="009668B3" w:rsidP="003F1FF8">
            <w:pPr>
              <w:tabs>
                <w:tab w:val="left" w:pos="0"/>
                <w:tab w:val="decimal" w:pos="1202"/>
              </w:tabs>
              <w:rPr>
                <w:sz w:val="20"/>
                <w:szCs w:val="20"/>
              </w:rPr>
            </w:pPr>
            <w:r w:rsidRPr="0000179E">
              <w:rPr>
                <w:sz w:val="20"/>
                <w:szCs w:val="20"/>
              </w:rPr>
              <w:tab/>
            </w:r>
            <w:r w:rsidR="003F1FF8" w:rsidRPr="0000179E">
              <w:rPr>
                <w:sz w:val="20"/>
                <w:szCs w:val="20"/>
              </w:rPr>
              <w:t>1,166,667</w:t>
            </w:r>
          </w:p>
        </w:tc>
      </w:tr>
      <w:tr w:rsidR="0000179E" w:rsidRPr="0000179E" w14:paraId="4FF0D48D" w14:textId="77777777" w:rsidTr="0000179E">
        <w:tc>
          <w:tcPr>
            <w:tcW w:w="5812" w:type="dxa"/>
            <w:tcBorders>
              <w:bottom w:val="single" w:sz="4" w:space="0" w:color="auto"/>
            </w:tcBorders>
            <w:vAlign w:val="center"/>
          </w:tcPr>
          <w:p w14:paraId="6A224668" w14:textId="17131F10" w:rsidR="0000179E" w:rsidRPr="0000179E" w:rsidRDefault="0000179E" w:rsidP="00BA2C24">
            <w:pPr>
              <w:rPr>
                <w:sz w:val="20"/>
                <w:szCs w:val="20"/>
              </w:rPr>
            </w:pPr>
            <w:r w:rsidRPr="0000179E">
              <w:rPr>
                <w:color w:val="000000"/>
                <w:sz w:val="20"/>
                <w:szCs w:val="20"/>
              </w:rPr>
              <w:t>July 7, 2022</w:t>
            </w:r>
          </w:p>
        </w:tc>
        <w:tc>
          <w:tcPr>
            <w:tcW w:w="1701" w:type="dxa"/>
            <w:tcBorders>
              <w:bottom w:val="single" w:sz="4" w:space="0" w:color="auto"/>
            </w:tcBorders>
            <w:vAlign w:val="center"/>
          </w:tcPr>
          <w:p w14:paraId="3FF3F2FA" w14:textId="461AFFC1" w:rsidR="0000179E" w:rsidRPr="0000179E" w:rsidRDefault="0000179E" w:rsidP="00BA2C24">
            <w:pPr>
              <w:tabs>
                <w:tab w:val="left" w:pos="0"/>
                <w:tab w:val="decimal" w:pos="1202"/>
              </w:tabs>
              <w:rPr>
                <w:sz w:val="20"/>
                <w:szCs w:val="20"/>
              </w:rPr>
            </w:pPr>
            <w:r w:rsidRPr="0000179E">
              <w:rPr>
                <w:color w:val="000000"/>
                <w:sz w:val="20"/>
                <w:szCs w:val="20"/>
              </w:rPr>
              <w:t xml:space="preserve"> $              0.30 </w:t>
            </w:r>
          </w:p>
        </w:tc>
        <w:tc>
          <w:tcPr>
            <w:tcW w:w="1701" w:type="dxa"/>
            <w:tcBorders>
              <w:bottom w:val="single" w:sz="4" w:space="0" w:color="auto"/>
            </w:tcBorders>
            <w:vAlign w:val="center"/>
          </w:tcPr>
          <w:p w14:paraId="0CBD2994" w14:textId="5379B4AD" w:rsidR="0000179E" w:rsidRPr="0000179E" w:rsidRDefault="0000179E" w:rsidP="00BA2C24">
            <w:pPr>
              <w:tabs>
                <w:tab w:val="left" w:pos="0"/>
                <w:tab w:val="decimal" w:pos="1202"/>
              </w:tabs>
              <w:rPr>
                <w:sz w:val="20"/>
                <w:szCs w:val="20"/>
              </w:rPr>
            </w:pPr>
            <w:r w:rsidRPr="0000179E">
              <w:rPr>
                <w:sz w:val="20"/>
                <w:szCs w:val="20"/>
              </w:rPr>
              <w:tab/>
              <w:t>133,832</w:t>
            </w:r>
          </w:p>
        </w:tc>
      </w:tr>
      <w:tr w:rsidR="00D70116" w:rsidRPr="0007463E" w14:paraId="0B6E4E4A" w14:textId="77777777" w:rsidTr="003F1FF8">
        <w:tc>
          <w:tcPr>
            <w:tcW w:w="5812" w:type="dxa"/>
            <w:tcBorders>
              <w:top w:val="single" w:sz="4" w:space="0" w:color="auto"/>
              <w:bottom w:val="double" w:sz="4" w:space="0" w:color="auto"/>
            </w:tcBorders>
          </w:tcPr>
          <w:p w14:paraId="41A30DF9" w14:textId="77777777" w:rsidR="00D70116" w:rsidRPr="0000179E" w:rsidRDefault="00D70116" w:rsidP="00E60C9A">
            <w:pPr>
              <w:rPr>
                <w:sz w:val="20"/>
                <w:szCs w:val="20"/>
              </w:rPr>
            </w:pPr>
          </w:p>
        </w:tc>
        <w:tc>
          <w:tcPr>
            <w:tcW w:w="1701" w:type="dxa"/>
            <w:tcBorders>
              <w:top w:val="single" w:sz="4" w:space="0" w:color="auto"/>
              <w:bottom w:val="double" w:sz="4" w:space="0" w:color="auto"/>
            </w:tcBorders>
          </w:tcPr>
          <w:p w14:paraId="275BEBCE" w14:textId="77777777" w:rsidR="00D70116" w:rsidRPr="0000179E" w:rsidRDefault="00D70116" w:rsidP="00E60C9A">
            <w:pPr>
              <w:tabs>
                <w:tab w:val="left" w:pos="0"/>
                <w:tab w:val="decimal" w:pos="1202"/>
              </w:tabs>
              <w:rPr>
                <w:sz w:val="20"/>
                <w:szCs w:val="20"/>
              </w:rPr>
            </w:pPr>
          </w:p>
        </w:tc>
        <w:tc>
          <w:tcPr>
            <w:tcW w:w="1701" w:type="dxa"/>
            <w:tcBorders>
              <w:top w:val="single" w:sz="4" w:space="0" w:color="auto"/>
              <w:bottom w:val="double" w:sz="4" w:space="0" w:color="auto"/>
            </w:tcBorders>
          </w:tcPr>
          <w:p w14:paraId="0C71F91C" w14:textId="2367B700" w:rsidR="00D70116" w:rsidRPr="0000179E" w:rsidRDefault="00D70116" w:rsidP="00E60C9A">
            <w:pPr>
              <w:tabs>
                <w:tab w:val="left" w:pos="0"/>
                <w:tab w:val="decimal" w:pos="1202"/>
              </w:tabs>
              <w:rPr>
                <w:sz w:val="20"/>
                <w:szCs w:val="20"/>
              </w:rPr>
            </w:pPr>
            <w:r w:rsidRPr="0000179E">
              <w:rPr>
                <w:sz w:val="20"/>
                <w:szCs w:val="20"/>
              </w:rPr>
              <w:tab/>
            </w:r>
            <w:r w:rsidR="009668B3" w:rsidRPr="0000179E">
              <w:rPr>
                <w:sz w:val="20"/>
                <w:szCs w:val="20"/>
              </w:rPr>
              <w:t>10,</w:t>
            </w:r>
            <w:r w:rsidR="00316055">
              <w:rPr>
                <w:sz w:val="20"/>
                <w:szCs w:val="20"/>
              </w:rPr>
              <w:t>3</w:t>
            </w:r>
            <w:r w:rsidR="0000179E" w:rsidRPr="0000179E">
              <w:rPr>
                <w:sz w:val="20"/>
                <w:szCs w:val="20"/>
              </w:rPr>
              <w:t>81,899</w:t>
            </w:r>
          </w:p>
        </w:tc>
      </w:tr>
      <w:bookmarkEnd w:id="10"/>
      <w:tr w:rsidR="00D70116" w:rsidRPr="0007463E" w14:paraId="4DFA4A56" w14:textId="77777777" w:rsidTr="00E60C9A">
        <w:tc>
          <w:tcPr>
            <w:tcW w:w="5812" w:type="dxa"/>
            <w:tcBorders>
              <w:top w:val="double" w:sz="4" w:space="0" w:color="auto"/>
            </w:tcBorders>
          </w:tcPr>
          <w:p w14:paraId="21BE1951" w14:textId="77777777" w:rsidR="00D70116" w:rsidRPr="0007463E" w:rsidRDefault="00D70116" w:rsidP="00E60C9A">
            <w:pPr>
              <w:rPr>
                <w:sz w:val="20"/>
                <w:szCs w:val="20"/>
                <w:highlight w:val="yellow"/>
              </w:rPr>
            </w:pPr>
          </w:p>
        </w:tc>
        <w:tc>
          <w:tcPr>
            <w:tcW w:w="1701" w:type="dxa"/>
            <w:tcBorders>
              <w:top w:val="double" w:sz="4" w:space="0" w:color="auto"/>
            </w:tcBorders>
          </w:tcPr>
          <w:p w14:paraId="14DE0741" w14:textId="77777777" w:rsidR="00D70116" w:rsidRPr="0007463E" w:rsidRDefault="00D70116" w:rsidP="00E60C9A">
            <w:pPr>
              <w:tabs>
                <w:tab w:val="left" w:pos="0"/>
                <w:tab w:val="decimal" w:pos="1202"/>
              </w:tabs>
              <w:rPr>
                <w:sz w:val="20"/>
                <w:szCs w:val="20"/>
                <w:highlight w:val="yellow"/>
              </w:rPr>
            </w:pPr>
          </w:p>
        </w:tc>
        <w:tc>
          <w:tcPr>
            <w:tcW w:w="1701" w:type="dxa"/>
            <w:tcBorders>
              <w:top w:val="double" w:sz="4" w:space="0" w:color="auto"/>
            </w:tcBorders>
          </w:tcPr>
          <w:p w14:paraId="24C8FF63" w14:textId="77777777" w:rsidR="00D70116" w:rsidRPr="0007463E" w:rsidRDefault="00D70116" w:rsidP="00E60C9A">
            <w:pPr>
              <w:tabs>
                <w:tab w:val="left" w:pos="0"/>
                <w:tab w:val="decimal" w:pos="1202"/>
              </w:tabs>
              <w:rPr>
                <w:sz w:val="20"/>
                <w:szCs w:val="20"/>
                <w:highlight w:val="yellow"/>
              </w:rPr>
            </w:pPr>
          </w:p>
        </w:tc>
      </w:tr>
    </w:tbl>
    <w:p w14:paraId="7E5CD49F" w14:textId="77777777" w:rsidR="00F6491A" w:rsidRDefault="00F6491A" w:rsidP="00D70116">
      <w:pPr>
        <w:pStyle w:val="ListParagraph"/>
        <w:ind w:left="284"/>
        <w:jc w:val="both"/>
        <w:rPr>
          <w:b/>
          <w:bCs/>
          <w:sz w:val="20"/>
          <w:szCs w:val="20"/>
        </w:rPr>
      </w:pPr>
    </w:p>
    <w:p w14:paraId="5ABDEB4E" w14:textId="77777777" w:rsidR="00F6491A" w:rsidRDefault="00F6491A">
      <w:pPr>
        <w:spacing w:after="160" w:line="259" w:lineRule="auto"/>
        <w:rPr>
          <w:rFonts w:eastAsia="Times New Roman"/>
          <w:b/>
          <w:bCs/>
          <w:sz w:val="20"/>
          <w:szCs w:val="20"/>
        </w:rPr>
      </w:pPr>
      <w:r>
        <w:rPr>
          <w:b/>
          <w:bCs/>
          <w:sz w:val="20"/>
          <w:szCs w:val="20"/>
        </w:rPr>
        <w:br w:type="page"/>
      </w:r>
    </w:p>
    <w:p w14:paraId="4FE6A341" w14:textId="77777777" w:rsidR="00F6491A" w:rsidRDefault="00F6491A" w:rsidP="00D70116">
      <w:pPr>
        <w:pStyle w:val="ListParagraph"/>
        <w:ind w:left="284"/>
        <w:jc w:val="both"/>
        <w:rPr>
          <w:b/>
          <w:bCs/>
          <w:sz w:val="20"/>
          <w:szCs w:val="20"/>
        </w:rPr>
      </w:pPr>
    </w:p>
    <w:p w14:paraId="536EEC44" w14:textId="77777777" w:rsidR="00F6491A" w:rsidRPr="0000179E" w:rsidRDefault="00F6491A" w:rsidP="00835C5B">
      <w:pPr>
        <w:pStyle w:val="ListParagraph"/>
        <w:numPr>
          <w:ilvl w:val="0"/>
          <w:numId w:val="40"/>
        </w:numPr>
        <w:ind w:left="284"/>
        <w:jc w:val="both"/>
        <w:rPr>
          <w:b/>
          <w:bCs/>
          <w:sz w:val="20"/>
          <w:szCs w:val="20"/>
        </w:rPr>
      </w:pPr>
      <w:r w:rsidRPr="0000179E">
        <w:rPr>
          <w:b/>
          <w:bCs/>
          <w:sz w:val="20"/>
          <w:szCs w:val="20"/>
        </w:rPr>
        <w:t xml:space="preserve">SHARE CAPITAL </w:t>
      </w:r>
      <w:r w:rsidRPr="0000179E">
        <w:rPr>
          <w:i/>
          <w:iCs/>
          <w:sz w:val="20"/>
          <w:szCs w:val="20"/>
        </w:rPr>
        <w:t>(cont’d…)</w:t>
      </w:r>
    </w:p>
    <w:p w14:paraId="7A4B994E" w14:textId="77777777" w:rsidR="00F6491A" w:rsidRDefault="00F6491A" w:rsidP="00D70116">
      <w:pPr>
        <w:pStyle w:val="ListParagraph"/>
        <w:ind w:left="284"/>
        <w:jc w:val="both"/>
        <w:rPr>
          <w:b/>
          <w:bCs/>
          <w:sz w:val="20"/>
          <w:szCs w:val="20"/>
        </w:rPr>
      </w:pPr>
    </w:p>
    <w:p w14:paraId="73B016CC" w14:textId="386AF527" w:rsidR="00D70116" w:rsidRPr="00005632" w:rsidRDefault="00D70116" w:rsidP="00D70116">
      <w:pPr>
        <w:pStyle w:val="ListParagraph"/>
        <w:ind w:left="284"/>
        <w:jc w:val="both"/>
        <w:rPr>
          <w:sz w:val="20"/>
          <w:szCs w:val="20"/>
        </w:rPr>
      </w:pPr>
      <w:r w:rsidRPr="00005632">
        <w:rPr>
          <w:b/>
          <w:bCs/>
          <w:sz w:val="20"/>
          <w:szCs w:val="20"/>
        </w:rPr>
        <w:t>Restricted Share Units</w:t>
      </w:r>
    </w:p>
    <w:p w14:paraId="45678632" w14:textId="77777777" w:rsidR="00D70116" w:rsidRPr="00005632" w:rsidRDefault="00D70116" w:rsidP="00D70116">
      <w:pPr>
        <w:pStyle w:val="ListParagraph"/>
        <w:ind w:left="284"/>
        <w:jc w:val="both"/>
        <w:rPr>
          <w:sz w:val="20"/>
          <w:szCs w:val="20"/>
        </w:rPr>
      </w:pPr>
    </w:p>
    <w:p w14:paraId="2F941032" w14:textId="30D128C9" w:rsidR="00D70116" w:rsidRDefault="00D70116" w:rsidP="00D70116">
      <w:pPr>
        <w:ind w:left="284"/>
        <w:jc w:val="both"/>
        <w:rPr>
          <w:sz w:val="20"/>
          <w:szCs w:val="20"/>
        </w:rPr>
      </w:pPr>
      <w:r w:rsidRPr="00005632">
        <w:rPr>
          <w:sz w:val="20"/>
          <w:szCs w:val="20"/>
        </w:rPr>
        <w:t xml:space="preserve">During the year ended December 31, 2020, Marble adopted a long-term restricted share unit plan (the “RSU Plan”). The restricted share units (“RSUs”) entitle directors, </w:t>
      </w:r>
      <w:proofErr w:type="gramStart"/>
      <w:r w:rsidRPr="00005632">
        <w:rPr>
          <w:sz w:val="20"/>
          <w:szCs w:val="20"/>
        </w:rPr>
        <w:t>officers</w:t>
      </w:r>
      <w:proofErr w:type="gramEnd"/>
      <w:r w:rsidRPr="00005632">
        <w:rPr>
          <w:sz w:val="20"/>
          <w:szCs w:val="20"/>
        </w:rPr>
        <w:t xml:space="preserve"> or employees to acquire common shares of Marble, based on vesting provisions determined by Marble’s Board of Directors at the time of grant.</w:t>
      </w:r>
    </w:p>
    <w:p w14:paraId="6316861A" w14:textId="7223808A" w:rsidR="004A6129" w:rsidRDefault="004A6129" w:rsidP="00D70116">
      <w:pPr>
        <w:ind w:left="284"/>
        <w:jc w:val="both"/>
        <w:rPr>
          <w:sz w:val="20"/>
          <w:szCs w:val="20"/>
        </w:rPr>
      </w:pPr>
    </w:p>
    <w:p w14:paraId="467B8E2A" w14:textId="77777777" w:rsidR="004A6129" w:rsidRPr="007160F7" w:rsidRDefault="004A6129" w:rsidP="004A6129">
      <w:pPr>
        <w:ind w:left="284"/>
        <w:jc w:val="both"/>
        <w:rPr>
          <w:sz w:val="20"/>
          <w:szCs w:val="20"/>
        </w:rPr>
      </w:pPr>
      <w:r w:rsidRPr="007160F7">
        <w:rPr>
          <w:sz w:val="20"/>
          <w:szCs w:val="20"/>
        </w:rPr>
        <w:t xml:space="preserve">During the year ended December 31, 2020, Marble granted 100,000 RSUs to a consultant. These RSUs vest 25% on May 28, 2020, and 25% each three months thereafter. Marble valued the RSUs at $0.165 per RSU to be recognized over the vesting term of the RSUs. </w:t>
      </w:r>
    </w:p>
    <w:p w14:paraId="5E3E1472" w14:textId="3B25778C" w:rsidR="00D70116" w:rsidRDefault="00D70116" w:rsidP="00D70116">
      <w:pPr>
        <w:ind w:left="284"/>
        <w:jc w:val="both"/>
        <w:rPr>
          <w:sz w:val="20"/>
          <w:szCs w:val="20"/>
          <w:highlight w:val="yellow"/>
        </w:rPr>
      </w:pPr>
    </w:p>
    <w:p w14:paraId="2768176B" w14:textId="51965DD7" w:rsidR="00005632" w:rsidRPr="007160F7" w:rsidRDefault="00005632" w:rsidP="00D70116">
      <w:pPr>
        <w:ind w:left="284"/>
        <w:jc w:val="both"/>
        <w:rPr>
          <w:sz w:val="20"/>
          <w:szCs w:val="20"/>
        </w:rPr>
      </w:pPr>
      <w:r w:rsidRPr="007160F7">
        <w:rPr>
          <w:sz w:val="20"/>
          <w:szCs w:val="20"/>
        </w:rPr>
        <w:t>During the six months ended June 30, 2021, Marble granted 100,000 RSUs to a consultant. These RSUs vest 25% on August 1, 2021, and 25% each three months thereafter. Marble valued the RSUs at $0.1</w:t>
      </w:r>
      <w:r w:rsidR="007160F7" w:rsidRPr="007160F7">
        <w:rPr>
          <w:sz w:val="20"/>
          <w:szCs w:val="20"/>
        </w:rPr>
        <w:t>8</w:t>
      </w:r>
      <w:r w:rsidRPr="007160F7">
        <w:rPr>
          <w:sz w:val="20"/>
          <w:szCs w:val="20"/>
        </w:rPr>
        <w:t xml:space="preserve">5 per RSU to be recognized over the vesting term of the RSUs. </w:t>
      </w:r>
    </w:p>
    <w:p w14:paraId="2E01A228" w14:textId="77777777" w:rsidR="00005632" w:rsidRPr="0007463E" w:rsidRDefault="00005632" w:rsidP="00D70116">
      <w:pPr>
        <w:ind w:left="284"/>
        <w:jc w:val="both"/>
        <w:rPr>
          <w:sz w:val="20"/>
          <w:szCs w:val="20"/>
          <w:highlight w:val="yellow"/>
        </w:rPr>
      </w:pPr>
    </w:p>
    <w:p w14:paraId="0EA341CB" w14:textId="253B25C2" w:rsidR="00D70116" w:rsidRPr="007160F7" w:rsidRDefault="007160F7" w:rsidP="00D70116">
      <w:pPr>
        <w:ind w:left="284"/>
        <w:jc w:val="both"/>
        <w:rPr>
          <w:sz w:val="20"/>
          <w:szCs w:val="20"/>
        </w:rPr>
      </w:pPr>
      <w:r w:rsidRPr="007160F7">
        <w:rPr>
          <w:sz w:val="20"/>
          <w:szCs w:val="20"/>
        </w:rPr>
        <w:t xml:space="preserve">During the six months ended June 30, 2021, Marble recognized $4,024 as share-based payments related to RSUs vested (2020 - $2,004). As </w:t>
      </w:r>
      <w:proofErr w:type="gramStart"/>
      <w:r w:rsidRPr="007160F7">
        <w:rPr>
          <w:sz w:val="20"/>
          <w:szCs w:val="20"/>
        </w:rPr>
        <w:t>at</w:t>
      </w:r>
      <w:proofErr w:type="gramEnd"/>
      <w:r w:rsidRPr="007160F7">
        <w:rPr>
          <w:sz w:val="20"/>
          <w:szCs w:val="20"/>
        </w:rPr>
        <w:t xml:space="preserve"> June 30, 2021, 100,000 RSUs are outstanding.</w:t>
      </w:r>
    </w:p>
    <w:p w14:paraId="74C3C765" w14:textId="77777777" w:rsidR="00911523" w:rsidRPr="0007463E" w:rsidRDefault="00911523" w:rsidP="00AC344C">
      <w:pPr>
        <w:pStyle w:val="ListParagraph"/>
        <w:ind w:left="284"/>
        <w:jc w:val="both"/>
        <w:rPr>
          <w:sz w:val="20"/>
          <w:szCs w:val="20"/>
          <w:highlight w:val="yellow"/>
        </w:rPr>
      </w:pPr>
    </w:p>
    <w:p w14:paraId="65CBCB4B" w14:textId="5650BA6A" w:rsidR="005A50E2" w:rsidRPr="00987015" w:rsidRDefault="005A50E2" w:rsidP="00371BEA">
      <w:pPr>
        <w:pStyle w:val="ListParagraph"/>
        <w:numPr>
          <w:ilvl w:val="0"/>
          <w:numId w:val="33"/>
        </w:numPr>
        <w:ind w:left="284"/>
        <w:jc w:val="both"/>
        <w:rPr>
          <w:b/>
          <w:bCs/>
          <w:sz w:val="20"/>
          <w:szCs w:val="20"/>
        </w:rPr>
      </w:pPr>
      <w:r w:rsidRPr="00987015">
        <w:rPr>
          <w:b/>
          <w:bCs/>
          <w:sz w:val="20"/>
          <w:szCs w:val="20"/>
        </w:rPr>
        <w:t>RELATED PARTY TRANSACTIONS</w:t>
      </w:r>
    </w:p>
    <w:p w14:paraId="5642D6E9" w14:textId="77777777" w:rsidR="005A50E2" w:rsidRPr="00987015" w:rsidRDefault="005A50E2" w:rsidP="005A50E2">
      <w:pPr>
        <w:jc w:val="both"/>
        <w:rPr>
          <w:b/>
          <w:bCs/>
          <w:sz w:val="20"/>
          <w:szCs w:val="20"/>
        </w:rPr>
      </w:pPr>
    </w:p>
    <w:p w14:paraId="0F738EA3" w14:textId="77777777" w:rsidR="00D70116" w:rsidRPr="00987015" w:rsidRDefault="00D70116" w:rsidP="00D70116">
      <w:pPr>
        <w:ind w:left="284"/>
        <w:jc w:val="both"/>
        <w:rPr>
          <w:sz w:val="20"/>
          <w:szCs w:val="20"/>
        </w:rPr>
      </w:pPr>
      <w:bookmarkStart w:id="11" w:name="_Hlk72150336"/>
      <w:r w:rsidRPr="00987015">
        <w:rPr>
          <w:sz w:val="20"/>
          <w:szCs w:val="20"/>
        </w:rPr>
        <w:t xml:space="preserve">Related parties of the Company include key management personnel, companies controlled by key management personnel and close family members of key management personnel.  Key management personnel are persons having authority and responsibility for planning, </w:t>
      </w:r>
      <w:proofErr w:type="gramStart"/>
      <w:r w:rsidRPr="00987015">
        <w:rPr>
          <w:sz w:val="20"/>
          <w:szCs w:val="20"/>
        </w:rPr>
        <w:t>directing</w:t>
      </w:r>
      <w:proofErr w:type="gramEnd"/>
      <w:r w:rsidRPr="00987015">
        <w:rPr>
          <w:sz w:val="20"/>
          <w:szCs w:val="20"/>
        </w:rPr>
        <w:t xml:space="preserve"> and controlling the activities of the Company, directly or indirectly, including any directors (whether executive or otherwise) of the Company.  Key management personnel are composed of the board of directors and executive leadership team.</w:t>
      </w:r>
    </w:p>
    <w:p w14:paraId="5F33B21E" w14:textId="77777777" w:rsidR="00D70116" w:rsidRPr="00F13CBC" w:rsidRDefault="00D70116" w:rsidP="00D70116">
      <w:pPr>
        <w:ind w:left="284"/>
        <w:jc w:val="both"/>
        <w:rPr>
          <w:b/>
          <w:bCs/>
          <w:sz w:val="20"/>
          <w:szCs w:val="20"/>
        </w:rPr>
      </w:pPr>
    </w:p>
    <w:p w14:paraId="5D451DDC" w14:textId="77777777" w:rsidR="00D70116" w:rsidRPr="00F13CBC" w:rsidRDefault="00D70116" w:rsidP="00D70116">
      <w:pPr>
        <w:ind w:left="284"/>
        <w:jc w:val="both"/>
        <w:rPr>
          <w:b/>
          <w:bCs/>
          <w:sz w:val="20"/>
          <w:szCs w:val="20"/>
        </w:rPr>
      </w:pPr>
      <w:r w:rsidRPr="00F13CBC">
        <w:rPr>
          <w:b/>
          <w:bCs/>
          <w:sz w:val="20"/>
          <w:szCs w:val="20"/>
        </w:rPr>
        <w:t xml:space="preserve">Compensation </w:t>
      </w:r>
    </w:p>
    <w:p w14:paraId="3F976F84" w14:textId="77777777" w:rsidR="00D70116" w:rsidRPr="00F13CBC" w:rsidRDefault="00D70116" w:rsidP="00D70116">
      <w:pPr>
        <w:ind w:left="284"/>
        <w:jc w:val="both"/>
        <w:rPr>
          <w:sz w:val="20"/>
          <w:szCs w:val="20"/>
        </w:rPr>
      </w:pPr>
    </w:p>
    <w:p w14:paraId="2F9DF8B1" w14:textId="418A283A" w:rsidR="00D70116" w:rsidRPr="00F13CBC" w:rsidRDefault="00D70116" w:rsidP="00D70116">
      <w:pPr>
        <w:ind w:left="284"/>
        <w:jc w:val="both"/>
        <w:rPr>
          <w:sz w:val="20"/>
          <w:szCs w:val="20"/>
        </w:rPr>
      </w:pPr>
      <w:r w:rsidRPr="00F13CBC">
        <w:rPr>
          <w:sz w:val="20"/>
          <w:szCs w:val="20"/>
        </w:rPr>
        <w:t xml:space="preserve">Salaries and other short-term employee benefits paid to the Company’s key management personnel were </w:t>
      </w:r>
      <w:r w:rsidR="004A6129">
        <w:rPr>
          <w:sz w:val="20"/>
          <w:szCs w:val="20"/>
        </w:rPr>
        <w:t xml:space="preserve">$34,005 and </w:t>
      </w:r>
      <w:r w:rsidRPr="00F13CBC">
        <w:rPr>
          <w:sz w:val="20"/>
          <w:szCs w:val="20"/>
        </w:rPr>
        <w:t>$</w:t>
      </w:r>
      <w:r w:rsidR="00F13CBC" w:rsidRPr="00F13CBC">
        <w:rPr>
          <w:sz w:val="20"/>
          <w:szCs w:val="20"/>
        </w:rPr>
        <w:t>73,849</w:t>
      </w:r>
      <w:r w:rsidRPr="00F13CBC">
        <w:rPr>
          <w:sz w:val="20"/>
          <w:szCs w:val="20"/>
        </w:rPr>
        <w:t xml:space="preserve"> for the </w:t>
      </w:r>
      <w:r w:rsidR="004A6129">
        <w:rPr>
          <w:sz w:val="20"/>
          <w:szCs w:val="20"/>
        </w:rPr>
        <w:t xml:space="preserve">three and </w:t>
      </w:r>
      <w:r w:rsidR="00C117D6" w:rsidRPr="00F13CBC">
        <w:rPr>
          <w:sz w:val="20"/>
          <w:szCs w:val="20"/>
        </w:rPr>
        <w:t>six months</w:t>
      </w:r>
      <w:r w:rsidR="005A6826" w:rsidRPr="00F13CBC">
        <w:rPr>
          <w:sz w:val="20"/>
          <w:szCs w:val="20"/>
        </w:rPr>
        <w:t xml:space="preserve"> </w:t>
      </w:r>
      <w:r w:rsidR="00822715" w:rsidRPr="00F13CBC">
        <w:rPr>
          <w:sz w:val="20"/>
          <w:szCs w:val="20"/>
        </w:rPr>
        <w:t xml:space="preserve">ended </w:t>
      </w:r>
      <w:r w:rsidR="00C117D6" w:rsidRPr="00F13CBC">
        <w:rPr>
          <w:sz w:val="20"/>
          <w:szCs w:val="20"/>
        </w:rPr>
        <w:t>June 30</w:t>
      </w:r>
      <w:r w:rsidR="00822715" w:rsidRPr="00F13CBC">
        <w:rPr>
          <w:sz w:val="20"/>
          <w:szCs w:val="20"/>
        </w:rPr>
        <w:t xml:space="preserve">, 2021 </w:t>
      </w:r>
      <w:r w:rsidRPr="00F13CBC">
        <w:rPr>
          <w:sz w:val="20"/>
          <w:szCs w:val="20"/>
        </w:rPr>
        <w:t>(20</w:t>
      </w:r>
      <w:r w:rsidR="00822715" w:rsidRPr="00F13CBC">
        <w:rPr>
          <w:sz w:val="20"/>
          <w:szCs w:val="20"/>
        </w:rPr>
        <w:t>20</w:t>
      </w:r>
      <w:r w:rsidRPr="00F13CBC">
        <w:rPr>
          <w:sz w:val="20"/>
          <w:szCs w:val="20"/>
        </w:rPr>
        <w:t xml:space="preserve"> - $</w:t>
      </w:r>
      <w:r w:rsidR="00822715" w:rsidRPr="00F13CBC">
        <w:rPr>
          <w:sz w:val="20"/>
          <w:szCs w:val="20"/>
        </w:rPr>
        <w:t>nil</w:t>
      </w:r>
      <w:r w:rsidR="004A6129">
        <w:rPr>
          <w:sz w:val="20"/>
          <w:szCs w:val="20"/>
        </w:rPr>
        <w:t xml:space="preserve"> and $nil</w:t>
      </w:r>
      <w:r w:rsidRPr="00F13CBC">
        <w:rPr>
          <w:sz w:val="20"/>
          <w:szCs w:val="20"/>
        </w:rPr>
        <w:t>).</w:t>
      </w:r>
    </w:p>
    <w:p w14:paraId="5A5A5AB1" w14:textId="77777777" w:rsidR="00D70116" w:rsidRPr="0007463E" w:rsidRDefault="00D70116" w:rsidP="00D70116">
      <w:pPr>
        <w:ind w:left="284"/>
        <w:jc w:val="both"/>
        <w:rPr>
          <w:sz w:val="20"/>
          <w:szCs w:val="20"/>
          <w:highlight w:val="yellow"/>
        </w:rPr>
      </w:pPr>
    </w:p>
    <w:p w14:paraId="57562193" w14:textId="77777777" w:rsidR="00D70116" w:rsidRPr="00987015" w:rsidRDefault="00D70116" w:rsidP="00D70116">
      <w:pPr>
        <w:ind w:left="284"/>
        <w:jc w:val="both"/>
        <w:rPr>
          <w:b/>
          <w:bCs/>
          <w:sz w:val="20"/>
          <w:szCs w:val="20"/>
        </w:rPr>
      </w:pPr>
      <w:bookmarkStart w:id="12" w:name="_Hlk80196847"/>
      <w:r w:rsidRPr="00987015">
        <w:rPr>
          <w:b/>
          <w:bCs/>
          <w:sz w:val="20"/>
          <w:szCs w:val="20"/>
        </w:rPr>
        <w:t xml:space="preserve">Consulting fees </w:t>
      </w:r>
    </w:p>
    <w:p w14:paraId="1E52E61C" w14:textId="77777777" w:rsidR="00D70116" w:rsidRPr="00987015" w:rsidRDefault="00D70116" w:rsidP="00D70116">
      <w:pPr>
        <w:ind w:left="284"/>
        <w:jc w:val="both"/>
        <w:rPr>
          <w:sz w:val="20"/>
          <w:szCs w:val="20"/>
        </w:rPr>
      </w:pPr>
    </w:p>
    <w:p w14:paraId="6D52949D" w14:textId="75F1CA12" w:rsidR="00D70116" w:rsidRPr="00987015" w:rsidRDefault="00D70116" w:rsidP="00D70116">
      <w:pPr>
        <w:ind w:left="284"/>
        <w:jc w:val="both"/>
        <w:rPr>
          <w:sz w:val="20"/>
          <w:szCs w:val="20"/>
        </w:rPr>
      </w:pPr>
      <w:r w:rsidRPr="00987015">
        <w:rPr>
          <w:sz w:val="20"/>
          <w:szCs w:val="20"/>
        </w:rPr>
        <w:t xml:space="preserve">Consulting fees paid to the Company’s key management personnel and companies controlled by current and former key management personnel were </w:t>
      </w:r>
      <w:r w:rsidR="004A6129">
        <w:rPr>
          <w:sz w:val="20"/>
          <w:szCs w:val="20"/>
        </w:rPr>
        <w:t xml:space="preserve">$34,125 and </w:t>
      </w:r>
      <w:r w:rsidRPr="00987015">
        <w:rPr>
          <w:sz w:val="20"/>
          <w:szCs w:val="20"/>
        </w:rPr>
        <w:t>$</w:t>
      </w:r>
      <w:r w:rsidR="00987015" w:rsidRPr="00987015">
        <w:rPr>
          <w:sz w:val="20"/>
          <w:szCs w:val="20"/>
        </w:rPr>
        <w:t>123,900</w:t>
      </w:r>
      <w:r w:rsidRPr="00987015">
        <w:rPr>
          <w:sz w:val="20"/>
          <w:szCs w:val="20"/>
        </w:rPr>
        <w:t xml:space="preserve"> for the </w:t>
      </w:r>
      <w:r w:rsidR="004A6129">
        <w:rPr>
          <w:sz w:val="20"/>
          <w:szCs w:val="20"/>
        </w:rPr>
        <w:t>three and six months</w:t>
      </w:r>
      <w:r w:rsidR="004A6129" w:rsidRPr="00987015">
        <w:rPr>
          <w:sz w:val="20"/>
          <w:szCs w:val="20"/>
        </w:rPr>
        <w:t xml:space="preserve"> </w:t>
      </w:r>
      <w:r w:rsidR="00822715" w:rsidRPr="00987015">
        <w:rPr>
          <w:sz w:val="20"/>
          <w:szCs w:val="20"/>
        </w:rPr>
        <w:t xml:space="preserve">ended </w:t>
      </w:r>
      <w:r w:rsidR="00C117D6" w:rsidRPr="00987015">
        <w:rPr>
          <w:sz w:val="20"/>
          <w:szCs w:val="20"/>
        </w:rPr>
        <w:t>June 30</w:t>
      </w:r>
      <w:r w:rsidR="00822715" w:rsidRPr="00987015">
        <w:rPr>
          <w:sz w:val="20"/>
          <w:szCs w:val="20"/>
        </w:rPr>
        <w:t>,</w:t>
      </w:r>
      <w:r w:rsidRPr="00987015">
        <w:rPr>
          <w:sz w:val="20"/>
          <w:szCs w:val="20"/>
        </w:rPr>
        <w:t xml:space="preserve"> 202</w:t>
      </w:r>
      <w:r w:rsidR="00822715" w:rsidRPr="00987015">
        <w:rPr>
          <w:sz w:val="20"/>
          <w:szCs w:val="20"/>
        </w:rPr>
        <w:t>1</w:t>
      </w:r>
      <w:r w:rsidRPr="00987015">
        <w:rPr>
          <w:sz w:val="20"/>
          <w:szCs w:val="20"/>
        </w:rPr>
        <w:t xml:space="preserve"> (20</w:t>
      </w:r>
      <w:r w:rsidR="00822715" w:rsidRPr="00987015">
        <w:rPr>
          <w:sz w:val="20"/>
          <w:szCs w:val="20"/>
        </w:rPr>
        <w:t>20</w:t>
      </w:r>
      <w:r w:rsidRPr="00987015">
        <w:rPr>
          <w:sz w:val="20"/>
          <w:szCs w:val="20"/>
        </w:rPr>
        <w:t xml:space="preserve"> - </w:t>
      </w:r>
      <w:r w:rsidR="004A6129">
        <w:rPr>
          <w:sz w:val="20"/>
          <w:szCs w:val="20"/>
        </w:rPr>
        <w:t xml:space="preserve">$96,580 and </w:t>
      </w:r>
      <w:r w:rsidRPr="00987015">
        <w:rPr>
          <w:sz w:val="20"/>
          <w:szCs w:val="20"/>
        </w:rPr>
        <w:t>$</w:t>
      </w:r>
      <w:r w:rsidR="0080201C">
        <w:rPr>
          <w:sz w:val="20"/>
          <w:szCs w:val="20"/>
        </w:rPr>
        <w:t>186,486</w:t>
      </w:r>
      <w:r w:rsidRPr="00987015">
        <w:rPr>
          <w:sz w:val="20"/>
          <w:szCs w:val="20"/>
        </w:rPr>
        <w:t xml:space="preserve">).  As </w:t>
      </w:r>
      <w:proofErr w:type="gramStart"/>
      <w:r w:rsidRPr="00987015">
        <w:rPr>
          <w:sz w:val="20"/>
          <w:szCs w:val="20"/>
        </w:rPr>
        <w:t>at</w:t>
      </w:r>
      <w:proofErr w:type="gramEnd"/>
      <w:r w:rsidRPr="00987015">
        <w:rPr>
          <w:sz w:val="20"/>
          <w:szCs w:val="20"/>
        </w:rPr>
        <w:t xml:space="preserve"> </w:t>
      </w:r>
      <w:r w:rsidR="00C117D6" w:rsidRPr="00987015">
        <w:rPr>
          <w:sz w:val="20"/>
          <w:szCs w:val="20"/>
        </w:rPr>
        <w:t>June 30</w:t>
      </w:r>
      <w:r w:rsidR="00822715" w:rsidRPr="00987015">
        <w:rPr>
          <w:sz w:val="20"/>
          <w:szCs w:val="20"/>
        </w:rPr>
        <w:t>, 2021</w:t>
      </w:r>
      <w:r w:rsidRPr="00987015">
        <w:rPr>
          <w:sz w:val="20"/>
          <w:szCs w:val="20"/>
        </w:rPr>
        <w:t>, accounts payable and accrued liabilities included $</w:t>
      </w:r>
      <w:r w:rsidR="00987015" w:rsidRPr="00987015">
        <w:rPr>
          <w:sz w:val="20"/>
          <w:szCs w:val="20"/>
        </w:rPr>
        <w:t>6,800</w:t>
      </w:r>
      <w:r w:rsidR="00AD6022" w:rsidRPr="00987015">
        <w:rPr>
          <w:sz w:val="20"/>
          <w:szCs w:val="20"/>
        </w:rPr>
        <w:t xml:space="preserve"> </w:t>
      </w:r>
      <w:r w:rsidRPr="00987015">
        <w:rPr>
          <w:sz w:val="20"/>
          <w:szCs w:val="20"/>
        </w:rPr>
        <w:t>(</w:t>
      </w:r>
      <w:r w:rsidR="00166764">
        <w:rPr>
          <w:sz w:val="20"/>
          <w:szCs w:val="20"/>
        </w:rPr>
        <w:t xml:space="preserve">December 31, </w:t>
      </w:r>
      <w:r w:rsidRPr="00987015">
        <w:rPr>
          <w:sz w:val="20"/>
          <w:szCs w:val="20"/>
        </w:rPr>
        <w:t>20</w:t>
      </w:r>
      <w:r w:rsidR="00822715" w:rsidRPr="00987015">
        <w:rPr>
          <w:sz w:val="20"/>
          <w:szCs w:val="20"/>
        </w:rPr>
        <w:t>20</w:t>
      </w:r>
      <w:r w:rsidRPr="00987015">
        <w:rPr>
          <w:sz w:val="20"/>
          <w:szCs w:val="20"/>
        </w:rPr>
        <w:t xml:space="preserve"> - $</w:t>
      </w:r>
      <w:r w:rsidR="00166764">
        <w:rPr>
          <w:sz w:val="20"/>
          <w:szCs w:val="20"/>
        </w:rPr>
        <w:t>17,510</w:t>
      </w:r>
      <w:r w:rsidRPr="00987015">
        <w:rPr>
          <w:sz w:val="20"/>
          <w:szCs w:val="20"/>
        </w:rPr>
        <w:t>) owing to key management personnel and companies controlled by key management personnel.</w:t>
      </w:r>
    </w:p>
    <w:p w14:paraId="141C4013" w14:textId="77777777" w:rsidR="00D70116" w:rsidRPr="00987015" w:rsidRDefault="00D70116" w:rsidP="00D70116">
      <w:pPr>
        <w:ind w:left="284"/>
        <w:jc w:val="both"/>
        <w:rPr>
          <w:b/>
          <w:bCs/>
          <w:sz w:val="20"/>
          <w:szCs w:val="20"/>
        </w:rPr>
      </w:pPr>
    </w:p>
    <w:p w14:paraId="1AD2E841" w14:textId="77777777" w:rsidR="00D70116" w:rsidRPr="00987015" w:rsidRDefault="00D70116" w:rsidP="00D70116">
      <w:pPr>
        <w:ind w:left="284"/>
        <w:jc w:val="both"/>
        <w:rPr>
          <w:b/>
          <w:bCs/>
          <w:sz w:val="20"/>
          <w:szCs w:val="20"/>
        </w:rPr>
      </w:pPr>
      <w:r w:rsidRPr="00987015">
        <w:rPr>
          <w:b/>
          <w:bCs/>
          <w:sz w:val="20"/>
          <w:szCs w:val="20"/>
        </w:rPr>
        <w:t>Share purchase option plan</w:t>
      </w:r>
    </w:p>
    <w:p w14:paraId="2824C6CD" w14:textId="77777777" w:rsidR="00D70116" w:rsidRPr="00987015" w:rsidRDefault="00D70116" w:rsidP="00D70116">
      <w:pPr>
        <w:ind w:left="284"/>
        <w:jc w:val="both"/>
        <w:rPr>
          <w:sz w:val="20"/>
          <w:szCs w:val="20"/>
        </w:rPr>
      </w:pPr>
    </w:p>
    <w:p w14:paraId="25EB815D" w14:textId="643E4772" w:rsidR="00D70116" w:rsidRPr="00987015" w:rsidRDefault="00D70116" w:rsidP="00D70116">
      <w:pPr>
        <w:ind w:left="284"/>
        <w:jc w:val="both"/>
        <w:rPr>
          <w:sz w:val="20"/>
          <w:szCs w:val="20"/>
        </w:rPr>
      </w:pPr>
      <w:r w:rsidRPr="00987015">
        <w:rPr>
          <w:sz w:val="20"/>
          <w:szCs w:val="20"/>
        </w:rPr>
        <w:t xml:space="preserve">Included in the </w:t>
      </w:r>
      <w:r w:rsidR="00822715" w:rsidRPr="00987015">
        <w:rPr>
          <w:sz w:val="20"/>
          <w:szCs w:val="20"/>
        </w:rPr>
        <w:t>share-based</w:t>
      </w:r>
      <w:r w:rsidRPr="00987015">
        <w:rPr>
          <w:sz w:val="20"/>
          <w:szCs w:val="20"/>
        </w:rPr>
        <w:t xml:space="preserve"> payments for the </w:t>
      </w:r>
      <w:bookmarkStart w:id="13" w:name="_Hlk80737690"/>
      <w:r w:rsidR="005F0044">
        <w:rPr>
          <w:sz w:val="20"/>
          <w:szCs w:val="20"/>
        </w:rPr>
        <w:t xml:space="preserve">three and </w:t>
      </w:r>
      <w:r w:rsidR="00C117D6" w:rsidRPr="00987015">
        <w:rPr>
          <w:sz w:val="20"/>
          <w:szCs w:val="20"/>
        </w:rPr>
        <w:t>six months</w:t>
      </w:r>
      <w:r w:rsidR="005A6826" w:rsidRPr="00987015">
        <w:rPr>
          <w:sz w:val="20"/>
          <w:szCs w:val="20"/>
        </w:rPr>
        <w:t xml:space="preserve"> </w:t>
      </w:r>
      <w:r w:rsidRPr="00987015">
        <w:rPr>
          <w:sz w:val="20"/>
          <w:szCs w:val="20"/>
        </w:rPr>
        <w:t xml:space="preserve">ended </w:t>
      </w:r>
      <w:r w:rsidR="00C117D6" w:rsidRPr="00987015">
        <w:rPr>
          <w:sz w:val="20"/>
          <w:szCs w:val="20"/>
        </w:rPr>
        <w:t>June 30</w:t>
      </w:r>
      <w:r w:rsidR="00822715" w:rsidRPr="00987015">
        <w:rPr>
          <w:sz w:val="20"/>
          <w:szCs w:val="20"/>
        </w:rPr>
        <w:t xml:space="preserve">, </w:t>
      </w:r>
      <w:proofErr w:type="gramStart"/>
      <w:r w:rsidR="00822715" w:rsidRPr="00987015">
        <w:rPr>
          <w:sz w:val="20"/>
          <w:szCs w:val="20"/>
        </w:rPr>
        <w:t>2021</w:t>
      </w:r>
      <w:proofErr w:type="gramEnd"/>
      <w:r w:rsidRPr="00987015">
        <w:rPr>
          <w:sz w:val="20"/>
          <w:szCs w:val="20"/>
        </w:rPr>
        <w:t xml:space="preserve"> is</w:t>
      </w:r>
      <w:r w:rsidR="004A6129">
        <w:rPr>
          <w:sz w:val="20"/>
          <w:szCs w:val="20"/>
        </w:rPr>
        <w:t xml:space="preserve"> $43,442 and</w:t>
      </w:r>
      <w:r w:rsidRPr="00987015">
        <w:rPr>
          <w:sz w:val="20"/>
          <w:szCs w:val="20"/>
        </w:rPr>
        <w:t xml:space="preserve"> $</w:t>
      </w:r>
      <w:r w:rsidR="00987015" w:rsidRPr="00987015">
        <w:rPr>
          <w:sz w:val="20"/>
          <w:szCs w:val="20"/>
        </w:rPr>
        <w:t>135,271</w:t>
      </w:r>
      <w:r w:rsidRPr="00987015">
        <w:rPr>
          <w:sz w:val="20"/>
          <w:szCs w:val="20"/>
        </w:rPr>
        <w:t xml:space="preserve"> (20</w:t>
      </w:r>
      <w:r w:rsidR="00822715" w:rsidRPr="00987015">
        <w:rPr>
          <w:sz w:val="20"/>
          <w:szCs w:val="20"/>
        </w:rPr>
        <w:t>20</w:t>
      </w:r>
      <w:r w:rsidRPr="00987015">
        <w:rPr>
          <w:sz w:val="20"/>
          <w:szCs w:val="20"/>
        </w:rPr>
        <w:t xml:space="preserve"> - </w:t>
      </w:r>
      <w:r w:rsidR="004A6129">
        <w:rPr>
          <w:sz w:val="20"/>
          <w:szCs w:val="20"/>
        </w:rPr>
        <w:t xml:space="preserve">$nil and </w:t>
      </w:r>
      <w:r w:rsidRPr="00987015">
        <w:rPr>
          <w:sz w:val="20"/>
          <w:szCs w:val="20"/>
        </w:rPr>
        <w:t>$</w:t>
      </w:r>
      <w:r w:rsidR="00822715" w:rsidRPr="00987015">
        <w:rPr>
          <w:sz w:val="20"/>
          <w:szCs w:val="20"/>
        </w:rPr>
        <w:t>24,100</w:t>
      </w:r>
      <w:r w:rsidRPr="00987015">
        <w:rPr>
          <w:sz w:val="20"/>
          <w:szCs w:val="20"/>
        </w:rPr>
        <w:t xml:space="preserve">) </w:t>
      </w:r>
      <w:bookmarkEnd w:id="13"/>
      <w:r w:rsidRPr="00987015">
        <w:rPr>
          <w:sz w:val="20"/>
          <w:szCs w:val="20"/>
        </w:rPr>
        <w:t>related to the fair value of share purchase options vested for key management personnel.</w:t>
      </w:r>
    </w:p>
    <w:bookmarkEnd w:id="11"/>
    <w:bookmarkEnd w:id="12"/>
    <w:p w14:paraId="75098969" w14:textId="39054548" w:rsidR="005A50E2" w:rsidRPr="0007463E" w:rsidRDefault="005A50E2" w:rsidP="00D20D2F">
      <w:pPr>
        <w:jc w:val="both"/>
        <w:rPr>
          <w:sz w:val="20"/>
          <w:szCs w:val="20"/>
          <w:highlight w:val="yellow"/>
        </w:rPr>
      </w:pPr>
    </w:p>
    <w:p w14:paraId="675663CE" w14:textId="77777777" w:rsidR="00F83821" w:rsidRPr="00987015" w:rsidRDefault="00F83821" w:rsidP="00371BEA">
      <w:pPr>
        <w:pStyle w:val="ListParagraph"/>
        <w:numPr>
          <w:ilvl w:val="0"/>
          <w:numId w:val="33"/>
        </w:numPr>
        <w:ind w:left="284"/>
        <w:jc w:val="both"/>
        <w:rPr>
          <w:b/>
          <w:bCs/>
          <w:sz w:val="20"/>
          <w:szCs w:val="20"/>
        </w:rPr>
      </w:pPr>
      <w:r w:rsidRPr="00987015">
        <w:rPr>
          <w:b/>
          <w:bCs/>
          <w:sz w:val="20"/>
          <w:szCs w:val="20"/>
        </w:rPr>
        <w:t>SUPPLEMENTAL CASH FLOW INFORMATION</w:t>
      </w:r>
    </w:p>
    <w:p w14:paraId="783FB54B" w14:textId="22F5648F" w:rsidR="00F83821" w:rsidRPr="00987015" w:rsidRDefault="00F83821" w:rsidP="00F83821">
      <w:pPr>
        <w:pStyle w:val="ListParagraph"/>
        <w:ind w:left="360"/>
        <w:jc w:val="both"/>
        <w:rPr>
          <w:b/>
          <w:bCs/>
          <w:sz w:val="20"/>
          <w:szCs w:val="20"/>
          <w:lang w:val="en-US"/>
        </w:rPr>
      </w:pPr>
    </w:p>
    <w:p w14:paraId="52D45FBA" w14:textId="4F511011" w:rsidR="00AB46FB" w:rsidRPr="00987015" w:rsidRDefault="009F4E85" w:rsidP="009F4E85">
      <w:pPr>
        <w:tabs>
          <w:tab w:val="left" w:pos="1843"/>
        </w:tabs>
        <w:ind w:left="284"/>
        <w:jc w:val="both"/>
        <w:rPr>
          <w:sz w:val="20"/>
          <w:szCs w:val="20"/>
          <w:lang w:val="en-US"/>
        </w:rPr>
      </w:pPr>
      <w:r w:rsidRPr="00987015">
        <w:rPr>
          <w:sz w:val="20"/>
          <w:szCs w:val="20"/>
        </w:rPr>
        <w:t xml:space="preserve">During the </w:t>
      </w:r>
      <w:r w:rsidR="00C117D6" w:rsidRPr="00987015">
        <w:rPr>
          <w:sz w:val="20"/>
          <w:szCs w:val="20"/>
        </w:rPr>
        <w:t>six months</w:t>
      </w:r>
      <w:r w:rsidR="005A6826" w:rsidRPr="00987015">
        <w:rPr>
          <w:sz w:val="20"/>
          <w:szCs w:val="20"/>
        </w:rPr>
        <w:t xml:space="preserve"> </w:t>
      </w:r>
      <w:r w:rsidRPr="00987015">
        <w:rPr>
          <w:sz w:val="20"/>
          <w:szCs w:val="20"/>
        </w:rPr>
        <w:t xml:space="preserve">ended </w:t>
      </w:r>
      <w:r w:rsidR="00C117D6" w:rsidRPr="00987015">
        <w:rPr>
          <w:sz w:val="20"/>
          <w:szCs w:val="20"/>
        </w:rPr>
        <w:t>June 30</w:t>
      </w:r>
      <w:r w:rsidR="00BF52D5" w:rsidRPr="00987015">
        <w:rPr>
          <w:sz w:val="20"/>
          <w:szCs w:val="20"/>
        </w:rPr>
        <w:t>, 2021</w:t>
      </w:r>
      <w:r w:rsidRPr="00987015">
        <w:rPr>
          <w:sz w:val="20"/>
          <w:szCs w:val="20"/>
        </w:rPr>
        <w:t xml:space="preserve">, the Company recognized </w:t>
      </w:r>
      <w:r w:rsidR="00BF52D5" w:rsidRPr="00987015">
        <w:rPr>
          <w:sz w:val="20"/>
          <w:szCs w:val="20"/>
        </w:rPr>
        <w:t xml:space="preserve">a </w:t>
      </w:r>
      <w:r w:rsidRPr="00987015">
        <w:rPr>
          <w:sz w:val="20"/>
          <w:szCs w:val="20"/>
        </w:rPr>
        <w:t>$</w:t>
      </w:r>
      <w:r w:rsidR="00BF52D5" w:rsidRPr="00987015">
        <w:rPr>
          <w:sz w:val="20"/>
          <w:szCs w:val="20"/>
        </w:rPr>
        <w:t>4,125</w:t>
      </w:r>
      <w:r w:rsidRPr="00987015">
        <w:rPr>
          <w:sz w:val="20"/>
          <w:szCs w:val="20"/>
        </w:rPr>
        <w:t xml:space="preserve"> addition to share capital pursuant to</w:t>
      </w:r>
      <w:r w:rsidR="00BF52D5" w:rsidRPr="00987015">
        <w:rPr>
          <w:sz w:val="20"/>
          <w:szCs w:val="20"/>
        </w:rPr>
        <w:t xml:space="preserve"> the</w:t>
      </w:r>
      <w:r w:rsidRPr="00987015">
        <w:rPr>
          <w:sz w:val="20"/>
          <w:szCs w:val="20"/>
        </w:rPr>
        <w:t xml:space="preserve"> </w:t>
      </w:r>
      <w:r w:rsidR="00BF52D5" w:rsidRPr="00987015">
        <w:rPr>
          <w:sz w:val="20"/>
          <w:szCs w:val="20"/>
        </w:rPr>
        <w:t xml:space="preserve">vesting of </w:t>
      </w:r>
      <w:r w:rsidRPr="00987015">
        <w:rPr>
          <w:sz w:val="20"/>
          <w:szCs w:val="20"/>
        </w:rPr>
        <w:t xml:space="preserve">RSUs </w:t>
      </w:r>
      <w:r w:rsidR="00BF52D5" w:rsidRPr="00987015">
        <w:rPr>
          <w:sz w:val="20"/>
          <w:szCs w:val="20"/>
        </w:rPr>
        <w:t xml:space="preserve">(see Note </w:t>
      </w:r>
      <w:r w:rsidR="004744BE" w:rsidRPr="00987015">
        <w:rPr>
          <w:sz w:val="20"/>
          <w:szCs w:val="20"/>
        </w:rPr>
        <w:t>1</w:t>
      </w:r>
      <w:r w:rsidR="004744BE">
        <w:rPr>
          <w:sz w:val="20"/>
          <w:szCs w:val="20"/>
        </w:rPr>
        <w:t>4</w:t>
      </w:r>
      <w:r w:rsidR="00BF52D5" w:rsidRPr="00987015">
        <w:rPr>
          <w:sz w:val="20"/>
          <w:szCs w:val="20"/>
        </w:rPr>
        <w:t>).</w:t>
      </w:r>
      <w:r w:rsidR="00AB46FB" w:rsidRPr="00987015">
        <w:rPr>
          <w:sz w:val="20"/>
          <w:szCs w:val="20"/>
        </w:rPr>
        <w:t xml:space="preserve">  The Company also issued 40,843 common shares, valued at $15,000</w:t>
      </w:r>
      <w:r w:rsidR="009E4F3B" w:rsidRPr="00987015">
        <w:rPr>
          <w:sz w:val="20"/>
          <w:szCs w:val="20"/>
        </w:rPr>
        <w:t xml:space="preserve"> plus tax</w:t>
      </w:r>
      <w:r w:rsidR="00AB46FB" w:rsidRPr="00987015">
        <w:rPr>
          <w:sz w:val="20"/>
          <w:szCs w:val="20"/>
        </w:rPr>
        <w:t>,</w:t>
      </w:r>
      <w:r w:rsidR="00AB46FB" w:rsidRPr="00987015">
        <w:rPr>
          <w:sz w:val="20"/>
          <w:szCs w:val="20"/>
          <w:lang w:val="en-US"/>
        </w:rPr>
        <w:t xml:space="preserve"> </w:t>
      </w:r>
      <w:r w:rsidR="009E4F3B" w:rsidRPr="00987015">
        <w:rPr>
          <w:sz w:val="20"/>
          <w:szCs w:val="20"/>
          <w:lang w:val="en-US"/>
        </w:rPr>
        <w:t xml:space="preserve">as payment of the first installment of the fee related to the </w:t>
      </w:r>
      <w:r w:rsidR="00AB46FB" w:rsidRPr="00987015">
        <w:rPr>
          <w:sz w:val="20"/>
          <w:szCs w:val="20"/>
          <w:lang w:val="en-US"/>
        </w:rPr>
        <w:t xml:space="preserve">12-month online marketing campaign through AGORACOM Internet Relations Corp. </w:t>
      </w:r>
    </w:p>
    <w:p w14:paraId="3B1F7DF8" w14:textId="77777777" w:rsidR="009F4E85" w:rsidRPr="0007463E" w:rsidRDefault="009F4E85" w:rsidP="00F83821">
      <w:pPr>
        <w:pStyle w:val="ListParagraph"/>
        <w:ind w:left="360"/>
        <w:jc w:val="both"/>
        <w:rPr>
          <w:b/>
          <w:bCs/>
          <w:sz w:val="20"/>
          <w:szCs w:val="20"/>
          <w:highlight w:val="yellow"/>
          <w:lang w:val="en-US"/>
        </w:rPr>
      </w:pPr>
    </w:p>
    <w:p w14:paraId="2EAD7070" w14:textId="73E238DC" w:rsidR="00987015" w:rsidRDefault="00987015" w:rsidP="00987015">
      <w:pPr>
        <w:ind w:left="284"/>
        <w:jc w:val="both"/>
        <w:rPr>
          <w:sz w:val="20"/>
          <w:szCs w:val="20"/>
        </w:rPr>
      </w:pPr>
      <w:r>
        <w:rPr>
          <w:sz w:val="20"/>
          <w:szCs w:val="20"/>
        </w:rPr>
        <w:t xml:space="preserve">For the </w:t>
      </w:r>
      <w:r w:rsidR="004744BE">
        <w:rPr>
          <w:sz w:val="20"/>
          <w:szCs w:val="20"/>
        </w:rPr>
        <w:t xml:space="preserve">six months </w:t>
      </w:r>
      <w:r>
        <w:rPr>
          <w:sz w:val="20"/>
          <w:szCs w:val="20"/>
        </w:rPr>
        <w:t>ended June 30, 2020, the Company recognized $4,125 to share capital from reserves on the grant of shares under the Company’s RSU plan.</w:t>
      </w:r>
    </w:p>
    <w:p w14:paraId="1AC8762B" w14:textId="15C57670" w:rsidR="00D243AF" w:rsidRDefault="00D243AF">
      <w:pPr>
        <w:spacing w:after="160" w:line="259" w:lineRule="auto"/>
        <w:rPr>
          <w:b/>
          <w:bCs/>
          <w:sz w:val="20"/>
          <w:szCs w:val="20"/>
          <w:highlight w:val="yellow"/>
          <w:lang w:val="en-US"/>
        </w:rPr>
      </w:pPr>
      <w:r>
        <w:rPr>
          <w:b/>
          <w:bCs/>
          <w:sz w:val="20"/>
          <w:szCs w:val="20"/>
          <w:highlight w:val="yellow"/>
          <w:lang w:val="en-US"/>
        </w:rPr>
        <w:br w:type="page"/>
      </w:r>
    </w:p>
    <w:p w14:paraId="535D6D32" w14:textId="77777777" w:rsidR="00D70116" w:rsidRPr="0007463E" w:rsidRDefault="00D70116">
      <w:pPr>
        <w:rPr>
          <w:b/>
          <w:bCs/>
          <w:sz w:val="20"/>
          <w:szCs w:val="20"/>
          <w:highlight w:val="yellow"/>
          <w:lang w:val="en-US"/>
        </w:rPr>
      </w:pPr>
    </w:p>
    <w:p w14:paraId="063C3A96" w14:textId="107605C8" w:rsidR="00F83821" w:rsidRPr="00255CA3" w:rsidRDefault="00F83821" w:rsidP="00371BEA">
      <w:pPr>
        <w:pStyle w:val="ListParagraph"/>
        <w:numPr>
          <w:ilvl w:val="0"/>
          <w:numId w:val="33"/>
        </w:numPr>
        <w:ind w:left="284"/>
        <w:jc w:val="both"/>
        <w:rPr>
          <w:b/>
          <w:bCs/>
          <w:sz w:val="20"/>
          <w:szCs w:val="20"/>
        </w:rPr>
      </w:pPr>
      <w:r w:rsidRPr="00255CA3">
        <w:rPr>
          <w:b/>
          <w:bCs/>
          <w:sz w:val="20"/>
          <w:szCs w:val="20"/>
        </w:rPr>
        <w:t>RECONCILIATION OF CHANGES IN LIABILITIES ARISING FROM FINANCING ACTIVITIES</w:t>
      </w:r>
    </w:p>
    <w:p w14:paraId="4FA0310E" w14:textId="77777777" w:rsidR="00F83821" w:rsidRPr="00255CA3" w:rsidRDefault="00F83821" w:rsidP="00F83821">
      <w:pPr>
        <w:jc w:val="both"/>
        <w:rPr>
          <w:b/>
          <w:bCs/>
          <w:sz w:val="20"/>
          <w:szCs w:val="20"/>
          <w:lang w:val="en-US"/>
        </w:rPr>
      </w:pPr>
    </w:p>
    <w:p w14:paraId="6268A2E6" w14:textId="77777777" w:rsidR="009F4E85" w:rsidRPr="00255CA3" w:rsidRDefault="009F4E85" w:rsidP="009F4E85">
      <w:pPr>
        <w:ind w:left="357"/>
        <w:jc w:val="both"/>
        <w:rPr>
          <w:sz w:val="20"/>
          <w:szCs w:val="20"/>
          <w:lang w:val="en-US"/>
        </w:rPr>
      </w:pPr>
      <w:r w:rsidRPr="00255CA3">
        <w:rPr>
          <w:sz w:val="20"/>
          <w:szCs w:val="20"/>
          <w:lang w:val="en-US"/>
        </w:rPr>
        <w:t>Liabilities arising from financing activities include bonds issued, interest included in bond payable, bond transaction costs capitalized, promissory notes, lease liabilities, and loans payable. A reconciliation of the changes in these liabilities is as follows:</w:t>
      </w:r>
    </w:p>
    <w:p w14:paraId="633E3655" w14:textId="77777777" w:rsidR="009F4E85" w:rsidRPr="0007463E" w:rsidRDefault="009F4E85" w:rsidP="009F4E85">
      <w:pPr>
        <w:ind w:left="360"/>
        <w:jc w:val="both"/>
        <w:rPr>
          <w:b/>
          <w:bCs/>
          <w:sz w:val="20"/>
          <w:szCs w:val="20"/>
          <w:highlight w:val="yellow"/>
          <w:lang w:val="en-US"/>
        </w:rPr>
      </w:pPr>
    </w:p>
    <w:tbl>
      <w:tblPr>
        <w:tblStyle w:val="TableGrid"/>
        <w:tblW w:w="9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0"/>
        <w:gridCol w:w="1488"/>
        <w:gridCol w:w="1488"/>
      </w:tblGrid>
      <w:tr w:rsidR="009F4E85" w:rsidRPr="00255CA3" w14:paraId="08663308" w14:textId="77777777" w:rsidTr="009F4E85">
        <w:tc>
          <w:tcPr>
            <w:tcW w:w="6090" w:type="dxa"/>
            <w:tcBorders>
              <w:top w:val="double" w:sz="4" w:space="0" w:color="auto"/>
              <w:bottom w:val="single" w:sz="4" w:space="0" w:color="auto"/>
            </w:tcBorders>
          </w:tcPr>
          <w:p w14:paraId="64B7407B" w14:textId="77777777" w:rsidR="009F4E85" w:rsidRPr="00255CA3" w:rsidRDefault="009F4E85" w:rsidP="009F4E85">
            <w:pPr>
              <w:rPr>
                <w:sz w:val="20"/>
                <w:szCs w:val="20"/>
              </w:rPr>
            </w:pPr>
          </w:p>
        </w:tc>
        <w:tc>
          <w:tcPr>
            <w:tcW w:w="1488" w:type="dxa"/>
            <w:tcBorders>
              <w:top w:val="double" w:sz="4" w:space="0" w:color="auto"/>
              <w:bottom w:val="single" w:sz="4" w:space="0" w:color="auto"/>
            </w:tcBorders>
          </w:tcPr>
          <w:p w14:paraId="65319436" w14:textId="33C313CC" w:rsidR="009F4E85" w:rsidRPr="00255CA3" w:rsidRDefault="00C117D6" w:rsidP="009F4E85">
            <w:pPr>
              <w:tabs>
                <w:tab w:val="decimal" w:pos="1202"/>
              </w:tabs>
              <w:rPr>
                <w:b/>
                <w:bCs/>
                <w:sz w:val="20"/>
                <w:szCs w:val="20"/>
              </w:rPr>
            </w:pPr>
            <w:r w:rsidRPr="00255CA3">
              <w:rPr>
                <w:b/>
                <w:bCs/>
                <w:sz w:val="20"/>
                <w:szCs w:val="20"/>
              </w:rPr>
              <w:t>June 30</w:t>
            </w:r>
            <w:r w:rsidR="009F4E85" w:rsidRPr="00255CA3">
              <w:rPr>
                <w:b/>
                <w:bCs/>
                <w:sz w:val="20"/>
                <w:szCs w:val="20"/>
              </w:rPr>
              <w:t>,</w:t>
            </w:r>
            <w:r w:rsidR="009F4E85" w:rsidRPr="00255CA3">
              <w:rPr>
                <w:b/>
                <w:bCs/>
                <w:sz w:val="20"/>
                <w:szCs w:val="20"/>
              </w:rPr>
              <w:br/>
              <w:t xml:space="preserve"> 2021</w:t>
            </w:r>
          </w:p>
        </w:tc>
        <w:tc>
          <w:tcPr>
            <w:tcW w:w="1488" w:type="dxa"/>
            <w:tcBorders>
              <w:top w:val="double" w:sz="4" w:space="0" w:color="auto"/>
              <w:bottom w:val="single" w:sz="4" w:space="0" w:color="auto"/>
            </w:tcBorders>
          </w:tcPr>
          <w:p w14:paraId="402AC3F1" w14:textId="1EAAFBEC" w:rsidR="009F4E85" w:rsidRPr="00255CA3" w:rsidRDefault="009F4E85" w:rsidP="009F4E85">
            <w:pPr>
              <w:tabs>
                <w:tab w:val="decimal" w:pos="1202"/>
              </w:tabs>
              <w:rPr>
                <w:b/>
                <w:bCs/>
                <w:sz w:val="20"/>
                <w:szCs w:val="20"/>
              </w:rPr>
            </w:pPr>
            <w:r w:rsidRPr="00255CA3">
              <w:rPr>
                <w:b/>
                <w:bCs/>
                <w:sz w:val="20"/>
                <w:szCs w:val="20"/>
              </w:rPr>
              <w:t>December 31,</w:t>
            </w:r>
            <w:r w:rsidRPr="00255CA3">
              <w:rPr>
                <w:b/>
                <w:bCs/>
                <w:sz w:val="20"/>
                <w:szCs w:val="20"/>
              </w:rPr>
              <w:br/>
              <w:t xml:space="preserve"> 2020</w:t>
            </w:r>
          </w:p>
        </w:tc>
      </w:tr>
      <w:tr w:rsidR="009F4E85" w:rsidRPr="00255CA3" w14:paraId="02D9556E" w14:textId="77777777" w:rsidTr="009F4E85">
        <w:tc>
          <w:tcPr>
            <w:tcW w:w="6090" w:type="dxa"/>
            <w:tcBorders>
              <w:top w:val="single" w:sz="4" w:space="0" w:color="auto"/>
            </w:tcBorders>
          </w:tcPr>
          <w:p w14:paraId="53C075D9" w14:textId="77777777" w:rsidR="009F4E85" w:rsidRPr="00255CA3" w:rsidRDefault="009F4E85" w:rsidP="009F4E85">
            <w:pPr>
              <w:rPr>
                <w:sz w:val="20"/>
                <w:szCs w:val="20"/>
              </w:rPr>
            </w:pPr>
          </w:p>
        </w:tc>
        <w:tc>
          <w:tcPr>
            <w:tcW w:w="1488" w:type="dxa"/>
            <w:tcBorders>
              <w:top w:val="single" w:sz="4" w:space="0" w:color="auto"/>
            </w:tcBorders>
          </w:tcPr>
          <w:p w14:paraId="1975EBAA" w14:textId="77777777" w:rsidR="009F4E85" w:rsidRPr="00255CA3" w:rsidRDefault="009F4E85" w:rsidP="009F4E85">
            <w:pPr>
              <w:tabs>
                <w:tab w:val="left" w:pos="0"/>
                <w:tab w:val="decimal" w:pos="1202"/>
              </w:tabs>
              <w:rPr>
                <w:sz w:val="20"/>
                <w:szCs w:val="20"/>
              </w:rPr>
            </w:pPr>
          </w:p>
        </w:tc>
        <w:tc>
          <w:tcPr>
            <w:tcW w:w="1488" w:type="dxa"/>
            <w:tcBorders>
              <w:top w:val="single" w:sz="4" w:space="0" w:color="auto"/>
            </w:tcBorders>
          </w:tcPr>
          <w:p w14:paraId="3216989F" w14:textId="77777777" w:rsidR="009F4E85" w:rsidRPr="00255CA3" w:rsidRDefault="009F4E85" w:rsidP="009F4E85">
            <w:pPr>
              <w:tabs>
                <w:tab w:val="left" w:pos="0"/>
                <w:tab w:val="decimal" w:pos="1202"/>
              </w:tabs>
              <w:rPr>
                <w:sz w:val="20"/>
                <w:szCs w:val="20"/>
              </w:rPr>
            </w:pPr>
          </w:p>
        </w:tc>
      </w:tr>
      <w:tr w:rsidR="009F4E85" w:rsidRPr="00255CA3" w14:paraId="22D8310E" w14:textId="77777777" w:rsidTr="009F4E85">
        <w:tc>
          <w:tcPr>
            <w:tcW w:w="6090" w:type="dxa"/>
          </w:tcPr>
          <w:p w14:paraId="66AF1A66" w14:textId="6666207D" w:rsidR="009F4E85" w:rsidRPr="00255CA3" w:rsidRDefault="009F4E85" w:rsidP="009F4E85">
            <w:pPr>
              <w:rPr>
                <w:b/>
                <w:bCs/>
                <w:sz w:val="20"/>
                <w:szCs w:val="20"/>
              </w:rPr>
            </w:pPr>
            <w:r w:rsidRPr="00255CA3">
              <w:rPr>
                <w:b/>
                <w:bCs/>
                <w:sz w:val="20"/>
                <w:szCs w:val="20"/>
              </w:rPr>
              <w:t>Balance, beginning of the period</w:t>
            </w:r>
            <w:r w:rsidR="00BB6F35" w:rsidRPr="00255CA3">
              <w:rPr>
                <w:b/>
                <w:bCs/>
                <w:sz w:val="20"/>
                <w:szCs w:val="20"/>
              </w:rPr>
              <w:t xml:space="preserve"> / year</w:t>
            </w:r>
          </w:p>
        </w:tc>
        <w:tc>
          <w:tcPr>
            <w:tcW w:w="1488" w:type="dxa"/>
          </w:tcPr>
          <w:p w14:paraId="6694B929" w14:textId="727DF79C" w:rsidR="009F4E85" w:rsidRPr="00255CA3" w:rsidRDefault="009F4E85" w:rsidP="009F4E85">
            <w:pPr>
              <w:tabs>
                <w:tab w:val="left" w:pos="0"/>
                <w:tab w:val="decimal" w:pos="1202"/>
              </w:tabs>
              <w:rPr>
                <w:sz w:val="20"/>
                <w:szCs w:val="20"/>
              </w:rPr>
            </w:pPr>
            <w:r w:rsidRPr="00255CA3">
              <w:rPr>
                <w:sz w:val="20"/>
                <w:szCs w:val="20"/>
              </w:rPr>
              <w:t>$</w:t>
            </w:r>
            <w:r w:rsidRPr="00255CA3">
              <w:rPr>
                <w:sz w:val="20"/>
                <w:szCs w:val="20"/>
              </w:rPr>
              <w:tab/>
            </w:r>
            <w:r w:rsidR="00EE6943" w:rsidRPr="00255CA3">
              <w:rPr>
                <w:sz w:val="20"/>
                <w:szCs w:val="20"/>
              </w:rPr>
              <w:t>6,237,776</w:t>
            </w:r>
          </w:p>
        </w:tc>
        <w:tc>
          <w:tcPr>
            <w:tcW w:w="1488" w:type="dxa"/>
          </w:tcPr>
          <w:p w14:paraId="506DF565" w14:textId="208F46E2" w:rsidR="009F4E85" w:rsidRPr="00255CA3" w:rsidRDefault="009F4E85" w:rsidP="009F4E85">
            <w:pPr>
              <w:tabs>
                <w:tab w:val="left" w:pos="0"/>
                <w:tab w:val="decimal" w:pos="1202"/>
              </w:tabs>
              <w:rPr>
                <w:sz w:val="20"/>
                <w:szCs w:val="20"/>
              </w:rPr>
            </w:pPr>
            <w:r w:rsidRPr="00255CA3">
              <w:rPr>
                <w:sz w:val="20"/>
                <w:szCs w:val="20"/>
              </w:rPr>
              <w:t>$</w:t>
            </w:r>
            <w:r w:rsidRPr="00255CA3">
              <w:rPr>
                <w:sz w:val="20"/>
                <w:szCs w:val="20"/>
              </w:rPr>
              <w:tab/>
              <w:t>5,880,734</w:t>
            </w:r>
          </w:p>
        </w:tc>
      </w:tr>
      <w:tr w:rsidR="009F4E85" w:rsidRPr="00255CA3" w14:paraId="462629A5" w14:textId="77777777" w:rsidTr="009F4E85">
        <w:tc>
          <w:tcPr>
            <w:tcW w:w="6090" w:type="dxa"/>
          </w:tcPr>
          <w:p w14:paraId="5ADEAAA5" w14:textId="77777777" w:rsidR="009F4E85" w:rsidRPr="00255CA3" w:rsidRDefault="009F4E85" w:rsidP="009F4E85">
            <w:pPr>
              <w:rPr>
                <w:b/>
                <w:bCs/>
                <w:sz w:val="20"/>
                <w:szCs w:val="20"/>
              </w:rPr>
            </w:pPr>
          </w:p>
        </w:tc>
        <w:tc>
          <w:tcPr>
            <w:tcW w:w="1488" w:type="dxa"/>
          </w:tcPr>
          <w:p w14:paraId="2B455D80" w14:textId="77777777" w:rsidR="009F4E85" w:rsidRPr="00255CA3" w:rsidRDefault="009F4E85" w:rsidP="009F4E85">
            <w:pPr>
              <w:tabs>
                <w:tab w:val="decimal" w:pos="1202"/>
              </w:tabs>
              <w:rPr>
                <w:sz w:val="20"/>
                <w:szCs w:val="20"/>
              </w:rPr>
            </w:pPr>
          </w:p>
        </w:tc>
        <w:tc>
          <w:tcPr>
            <w:tcW w:w="1488" w:type="dxa"/>
          </w:tcPr>
          <w:p w14:paraId="3E1A775A" w14:textId="77777777" w:rsidR="009F4E85" w:rsidRPr="00255CA3" w:rsidRDefault="009F4E85" w:rsidP="009F4E85">
            <w:pPr>
              <w:tabs>
                <w:tab w:val="decimal" w:pos="1202"/>
              </w:tabs>
              <w:rPr>
                <w:sz w:val="20"/>
                <w:szCs w:val="20"/>
              </w:rPr>
            </w:pPr>
          </w:p>
        </w:tc>
      </w:tr>
      <w:tr w:rsidR="009F4E85" w:rsidRPr="00255CA3" w14:paraId="318C38B0" w14:textId="77777777" w:rsidTr="009F4E85">
        <w:tc>
          <w:tcPr>
            <w:tcW w:w="6090" w:type="dxa"/>
          </w:tcPr>
          <w:p w14:paraId="41186D64" w14:textId="77777777" w:rsidR="009F4E85" w:rsidRPr="00255CA3" w:rsidRDefault="009F4E85" w:rsidP="009F4E85">
            <w:pPr>
              <w:rPr>
                <w:b/>
                <w:bCs/>
                <w:sz w:val="20"/>
                <w:szCs w:val="20"/>
              </w:rPr>
            </w:pPr>
            <w:r w:rsidRPr="00255CA3">
              <w:rPr>
                <w:b/>
                <w:bCs/>
                <w:sz w:val="20"/>
                <w:szCs w:val="20"/>
              </w:rPr>
              <w:t>Changes from financing cash flows</w:t>
            </w:r>
          </w:p>
        </w:tc>
        <w:tc>
          <w:tcPr>
            <w:tcW w:w="1488" w:type="dxa"/>
          </w:tcPr>
          <w:p w14:paraId="612975FC" w14:textId="77777777" w:rsidR="009F4E85" w:rsidRPr="00255CA3" w:rsidRDefault="009F4E85" w:rsidP="009F4E85">
            <w:pPr>
              <w:tabs>
                <w:tab w:val="decimal" w:pos="1202"/>
              </w:tabs>
              <w:rPr>
                <w:sz w:val="20"/>
                <w:szCs w:val="20"/>
              </w:rPr>
            </w:pPr>
          </w:p>
        </w:tc>
        <w:tc>
          <w:tcPr>
            <w:tcW w:w="1488" w:type="dxa"/>
          </w:tcPr>
          <w:p w14:paraId="6F1C68D7" w14:textId="77777777" w:rsidR="009F4E85" w:rsidRPr="00255CA3" w:rsidRDefault="009F4E85" w:rsidP="009F4E85">
            <w:pPr>
              <w:tabs>
                <w:tab w:val="decimal" w:pos="1202"/>
              </w:tabs>
              <w:rPr>
                <w:sz w:val="20"/>
                <w:szCs w:val="20"/>
              </w:rPr>
            </w:pPr>
          </w:p>
        </w:tc>
      </w:tr>
      <w:tr w:rsidR="009F4E85" w:rsidRPr="00255CA3" w14:paraId="53AA057E" w14:textId="77777777" w:rsidTr="009F4E85">
        <w:tc>
          <w:tcPr>
            <w:tcW w:w="6090" w:type="dxa"/>
          </w:tcPr>
          <w:p w14:paraId="1F46BCAA" w14:textId="77777777" w:rsidR="009F4E85" w:rsidRPr="00255CA3" w:rsidRDefault="009F4E85" w:rsidP="009F4E85">
            <w:pPr>
              <w:ind w:left="321"/>
              <w:rPr>
                <w:sz w:val="20"/>
                <w:szCs w:val="20"/>
              </w:rPr>
            </w:pPr>
            <w:r w:rsidRPr="00255CA3">
              <w:rPr>
                <w:sz w:val="20"/>
                <w:szCs w:val="20"/>
              </w:rPr>
              <w:t>Proceeds from convertible debentures</w:t>
            </w:r>
          </w:p>
        </w:tc>
        <w:tc>
          <w:tcPr>
            <w:tcW w:w="1488" w:type="dxa"/>
          </w:tcPr>
          <w:p w14:paraId="77C0903C" w14:textId="2EF4BD36" w:rsidR="009F4E85" w:rsidRPr="00255CA3" w:rsidRDefault="00255CA3" w:rsidP="009F4E85">
            <w:pPr>
              <w:tabs>
                <w:tab w:val="decimal" w:pos="1202"/>
              </w:tabs>
              <w:rPr>
                <w:sz w:val="20"/>
                <w:szCs w:val="20"/>
              </w:rPr>
            </w:pPr>
            <w:r>
              <w:rPr>
                <w:sz w:val="20"/>
                <w:szCs w:val="20"/>
              </w:rPr>
              <w:t>1,303,000</w:t>
            </w:r>
          </w:p>
        </w:tc>
        <w:tc>
          <w:tcPr>
            <w:tcW w:w="1488" w:type="dxa"/>
          </w:tcPr>
          <w:p w14:paraId="7EB331C3" w14:textId="757AA58A" w:rsidR="009F4E85" w:rsidRPr="00255CA3" w:rsidRDefault="009F4E85" w:rsidP="009F4E85">
            <w:pPr>
              <w:tabs>
                <w:tab w:val="decimal" w:pos="1202"/>
              </w:tabs>
              <w:rPr>
                <w:sz w:val="20"/>
                <w:szCs w:val="20"/>
              </w:rPr>
            </w:pPr>
            <w:r w:rsidRPr="00255CA3">
              <w:rPr>
                <w:sz w:val="20"/>
                <w:szCs w:val="20"/>
              </w:rPr>
              <w:t>560,000</w:t>
            </w:r>
          </w:p>
        </w:tc>
      </w:tr>
      <w:tr w:rsidR="00255CA3" w:rsidRPr="00255CA3" w14:paraId="11CAD238" w14:textId="77777777" w:rsidTr="00BA2C24">
        <w:tc>
          <w:tcPr>
            <w:tcW w:w="6090" w:type="dxa"/>
          </w:tcPr>
          <w:p w14:paraId="37DDE624" w14:textId="5449ADD6" w:rsidR="00255CA3" w:rsidRPr="00255CA3" w:rsidRDefault="00255CA3" w:rsidP="00BA2C24">
            <w:pPr>
              <w:ind w:left="321"/>
              <w:rPr>
                <w:sz w:val="20"/>
                <w:szCs w:val="20"/>
              </w:rPr>
            </w:pPr>
            <w:r>
              <w:rPr>
                <w:sz w:val="20"/>
                <w:szCs w:val="20"/>
              </w:rPr>
              <w:t>Debt issuance costs</w:t>
            </w:r>
          </w:p>
        </w:tc>
        <w:tc>
          <w:tcPr>
            <w:tcW w:w="1488" w:type="dxa"/>
          </w:tcPr>
          <w:p w14:paraId="56D2B2FE" w14:textId="1E7D6CD6" w:rsidR="00255CA3" w:rsidRPr="00255CA3" w:rsidRDefault="00255CA3" w:rsidP="00BA2C24">
            <w:pPr>
              <w:tabs>
                <w:tab w:val="decimal" w:pos="1202"/>
              </w:tabs>
              <w:rPr>
                <w:sz w:val="20"/>
                <w:szCs w:val="20"/>
              </w:rPr>
            </w:pPr>
            <w:r>
              <w:rPr>
                <w:sz w:val="20"/>
                <w:szCs w:val="20"/>
              </w:rPr>
              <w:t>(40,150)</w:t>
            </w:r>
          </w:p>
        </w:tc>
        <w:tc>
          <w:tcPr>
            <w:tcW w:w="1488" w:type="dxa"/>
          </w:tcPr>
          <w:p w14:paraId="6C2991CA" w14:textId="3D50CD11" w:rsidR="00255CA3" w:rsidRPr="00255CA3" w:rsidRDefault="00255CA3" w:rsidP="00BA2C24">
            <w:pPr>
              <w:tabs>
                <w:tab w:val="decimal" w:pos="1202"/>
              </w:tabs>
              <w:rPr>
                <w:sz w:val="20"/>
                <w:szCs w:val="20"/>
              </w:rPr>
            </w:pPr>
            <w:r>
              <w:rPr>
                <w:sz w:val="20"/>
                <w:szCs w:val="20"/>
              </w:rPr>
              <w:t>-</w:t>
            </w:r>
          </w:p>
        </w:tc>
      </w:tr>
      <w:tr w:rsidR="009F4E85" w:rsidRPr="00255CA3" w14:paraId="2CCEE5E5" w14:textId="77777777" w:rsidTr="009F4E85">
        <w:tc>
          <w:tcPr>
            <w:tcW w:w="6090" w:type="dxa"/>
          </w:tcPr>
          <w:p w14:paraId="3CA187E4" w14:textId="77777777" w:rsidR="009F4E85" w:rsidRPr="00255CA3" w:rsidRDefault="009F4E85" w:rsidP="009F4E85">
            <w:pPr>
              <w:ind w:left="321"/>
              <w:rPr>
                <w:sz w:val="20"/>
                <w:szCs w:val="20"/>
              </w:rPr>
            </w:pPr>
            <w:r w:rsidRPr="00255CA3">
              <w:rPr>
                <w:sz w:val="20"/>
                <w:szCs w:val="20"/>
              </w:rPr>
              <w:t>Lease payments</w:t>
            </w:r>
          </w:p>
        </w:tc>
        <w:tc>
          <w:tcPr>
            <w:tcW w:w="1488" w:type="dxa"/>
          </w:tcPr>
          <w:p w14:paraId="1BE71CDB" w14:textId="0A90C269" w:rsidR="009F4E85" w:rsidRPr="00255CA3" w:rsidRDefault="009F4E85" w:rsidP="009F4E85">
            <w:pPr>
              <w:tabs>
                <w:tab w:val="decimal" w:pos="1202"/>
              </w:tabs>
              <w:rPr>
                <w:sz w:val="20"/>
                <w:szCs w:val="20"/>
              </w:rPr>
            </w:pPr>
            <w:r w:rsidRPr="00255CA3">
              <w:rPr>
                <w:sz w:val="20"/>
                <w:szCs w:val="20"/>
              </w:rPr>
              <w:t>(</w:t>
            </w:r>
            <w:r w:rsidR="00255CA3">
              <w:rPr>
                <w:sz w:val="20"/>
                <w:szCs w:val="20"/>
              </w:rPr>
              <w:t>102,833</w:t>
            </w:r>
            <w:r w:rsidRPr="00255CA3">
              <w:rPr>
                <w:sz w:val="20"/>
                <w:szCs w:val="20"/>
              </w:rPr>
              <w:t>)</w:t>
            </w:r>
          </w:p>
        </w:tc>
        <w:tc>
          <w:tcPr>
            <w:tcW w:w="1488" w:type="dxa"/>
          </w:tcPr>
          <w:p w14:paraId="103E6267" w14:textId="7D2D8EB3" w:rsidR="009F4E85" w:rsidRPr="00255CA3" w:rsidRDefault="009F4E85" w:rsidP="009F4E85">
            <w:pPr>
              <w:tabs>
                <w:tab w:val="decimal" w:pos="1202"/>
              </w:tabs>
              <w:rPr>
                <w:sz w:val="20"/>
                <w:szCs w:val="20"/>
              </w:rPr>
            </w:pPr>
            <w:r w:rsidRPr="00255CA3">
              <w:rPr>
                <w:sz w:val="20"/>
                <w:szCs w:val="20"/>
              </w:rPr>
              <w:t>(193,571)</w:t>
            </w:r>
          </w:p>
        </w:tc>
      </w:tr>
      <w:tr w:rsidR="009F4E85" w:rsidRPr="00255CA3" w14:paraId="28399B22" w14:textId="77777777" w:rsidTr="009F4E85">
        <w:tc>
          <w:tcPr>
            <w:tcW w:w="6090" w:type="dxa"/>
          </w:tcPr>
          <w:p w14:paraId="185645A1" w14:textId="77777777" w:rsidR="009F4E85" w:rsidRPr="00255CA3" w:rsidRDefault="009F4E85" w:rsidP="009F4E85">
            <w:pPr>
              <w:ind w:left="321"/>
              <w:rPr>
                <w:sz w:val="20"/>
                <w:szCs w:val="20"/>
              </w:rPr>
            </w:pPr>
            <w:r w:rsidRPr="00255CA3">
              <w:rPr>
                <w:sz w:val="20"/>
                <w:szCs w:val="20"/>
              </w:rPr>
              <w:t>Loan payments made</w:t>
            </w:r>
          </w:p>
        </w:tc>
        <w:tc>
          <w:tcPr>
            <w:tcW w:w="1488" w:type="dxa"/>
          </w:tcPr>
          <w:p w14:paraId="40B9F73F" w14:textId="11A712A8" w:rsidR="009F4E85" w:rsidRPr="00255CA3" w:rsidRDefault="009F4E85" w:rsidP="009F4E85">
            <w:pPr>
              <w:tabs>
                <w:tab w:val="decimal" w:pos="1202"/>
              </w:tabs>
              <w:rPr>
                <w:sz w:val="20"/>
                <w:szCs w:val="20"/>
              </w:rPr>
            </w:pPr>
            <w:r w:rsidRPr="00255CA3">
              <w:rPr>
                <w:sz w:val="20"/>
                <w:szCs w:val="20"/>
              </w:rPr>
              <w:t>(</w:t>
            </w:r>
            <w:r w:rsidR="00903C4B">
              <w:rPr>
                <w:sz w:val="20"/>
                <w:szCs w:val="20"/>
              </w:rPr>
              <w:t>12,582</w:t>
            </w:r>
            <w:r w:rsidRPr="00255CA3">
              <w:rPr>
                <w:sz w:val="20"/>
                <w:szCs w:val="20"/>
              </w:rPr>
              <w:t>)</w:t>
            </w:r>
          </w:p>
        </w:tc>
        <w:tc>
          <w:tcPr>
            <w:tcW w:w="1488" w:type="dxa"/>
          </w:tcPr>
          <w:p w14:paraId="0F4F88CA" w14:textId="57C854B3" w:rsidR="009F4E85" w:rsidRPr="00255CA3" w:rsidRDefault="009F4E85" w:rsidP="009F4E85">
            <w:pPr>
              <w:tabs>
                <w:tab w:val="decimal" w:pos="1202"/>
              </w:tabs>
              <w:rPr>
                <w:sz w:val="20"/>
                <w:szCs w:val="20"/>
              </w:rPr>
            </w:pPr>
            <w:r w:rsidRPr="00255CA3">
              <w:rPr>
                <w:sz w:val="20"/>
                <w:szCs w:val="20"/>
              </w:rPr>
              <w:t>(12,582)</w:t>
            </w:r>
          </w:p>
        </w:tc>
      </w:tr>
      <w:tr w:rsidR="009F4E85" w:rsidRPr="00255CA3" w14:paraId="201D3A0E" w14:textId="77777777" w:rsidTr="009F4E85">
        <w:tc>
          <w:tcPr>
            <w:tcW w:w="6090" w:type="dxa"/>
          </w:tcPr>
          <w:p w14:paraId="45011DE6" w14:textId="77777777" w:rsidR="009F4E85" w:rsidRPr="00255CA3" w:rsidRDefault="009F4E85" w:rsidP="009F4E85">
            <w:pPr>
              <w:ind w:left="321"/>
              <w:rPr>
                <w:sz w:val="20"/>
                <w:szCs w:val="20"/>
              </w:rPr>
            </w:pPr>
            <w:r w:rsidRPr="00255CA3">
              <w:rPr>
                <w:sz w:val="20"/>
                <w:szCs w:val="20"/>
              </w:rPr>
              <w:t>Loan received</w:t>
            </w:r>
          </w:p>
        </w:tc>
        <w:tc>
          <w:tcPr>
            <w:tcW w:w="1488" w:type="dxa"/>
          </w:tcPr>
          <w:p w14:paraId="56E4E362" w14:textId="3C4A1ED6" w:rsidR="009F4E85" w:rsidRPr="00255CA3" w:rsidRDefault="00EE7B61" w:rsidP="009F4E85">
            <w:pPr>
              <w:tabs>
                <w:tab w:val="decimal" w:pos="1202"/>
              </w:tabs>
              <w:rPr>
                <w:sz w:val="20"/>
                <w:szCs w:val="20"/>
              </w:rPr>
            </w:pPr>
            <w:r>
              <w:rPr>
                <w:sz w:val="20"/>
                <w:szCs w:val="20"/>
              </w:rPr>
              <w:t>-</w:t>
            </w:r>
          </w:p>
        </w:tc>
        <w:tc>
          <w:tcPr>
            <w:tcW w:w="1488" w:type="dxa"/>
          </w:tcPr>
          <w:p w14:paraId="0F1A8D9B" w14:textId="3B66319E" w:rsidR="009F4E85" w:rsidRPr="00255CA3" w:rsidRDefault="009F4E85" w:rsidP="009F4E85">
            <w:pPr>
              <w:tabs>
                <w:tab w:val="decimal" w:pos="1202"/>
              </w:tabs>
              <w:rPr>
                <w:sz w:val="20"/>
                <w:szCs w:val="20"/>
              </w:rPr>
            </w:pPr>
            <w:r w:rsidRPr="00255CA3">
              <w:rPr>
                <w:sz w:val="20"/>
                <w:szCs w:val="20"/>
              </w:rPr>
              <w:t>40,000</w:t>
            </w:r>
          </w:p>
        </w:tc>
      </w:tr>
      <w:tr w:rsidR="009F4E85" w:rsidRPr="00255CA3" w14:paraId="3DD17EA5" w14:textId="77777777" w:rsidTr="009F4E85">
        <w:tc>
          <w:tcPr>
            <w:tcW w:w="6090" w:type="dxa"/>
          </w:tcPr>
          <w:p w14:paraId="1C48FFE8" w14:textId="77777777" w:rsidR="009F4E85" w:rsidRPr="00255CA3" w:rsidRDefault="009F4E85" w:rsidP="009F4E85">
            <w:pPr>
              <w:ind w:left="321"/>
              <w:rPr>
                <w:sz w:val="20"/>
                <w:szCs w:val="20"/>
              </w:rPr>
            </w:pPr>
            <w:r w:rsidRPr="00255CA3">
              <w:rPr>
                <w:sz w:val="20"/>
                <w:szCs w:val="20"/>
              </w:rPr>
              <w:t>Payment of convertible debentures</w:t>
            </w:r>
          </w:p>
        </w:tc>
        <w:tc>
          <w:tcPr>
            <w:tcW w:w="1488" w:type="dxa"/>
          </w:tcPr>
          <w:p w14:paraId="378E326F" w14:textId="68A9CFFB" w:rsidR="009F4E85" w:rsidRPr="00255CA3" w:rsidRDefault="009F4E85" w:rsidP="009F4E85">
            <w:pPr>
              <w:tabs>
                <w:tab w:val="decimal" w:pos="1202"/>
              </w:tabs>
              <w:rPr>
                <w:sz w:val="20"/>
                <w:szCs w:val="20"/>
              </w:rPr>
            </w:pPr>
            <w:r w:rsidRPr="00255CA3">
              <w:rPr>
                <w:sz w:val="20"/>
                <w:szCs w:val="20"/>
              </w:rPr>
              <w:t>(</w:t>
            </w:r>
            <w:r w:rsidR="00F84A40" w:rsidRPr="00255CA3">
              <w:rPr>
                <w:sz w:val="20"/>
                <w:szCs w:val="20"/>
              </w:rPr>
              <w:t>10,741</w:t>
            </w:r>
            <w:r w:rsidRPr="00255CA3">
              <w:rPr>
                <w:sz w:val="20"/>
                <w:szCs w:val="20"/>
              </w:rPr>
              <w:t>)</w:t>
            </w:r>
          </w:p>
        </w:tc>
        <w:tc>
          <w:tcPr>
            <w:tcW w:w="1488" w:type="dxa"/>
          </w:tcPr>
          <w:p w14:paraId="772F297B" w14:textId="5A8A4507" w:rsidR="009F4E85" w:rsidRPr="00255CA3" w:rsidRDefault="009F4E85" w:rsidP="009F4E85">
            <w:pPr>
              <w:tabs>
                <w:tab w:val="decimal" w:pos="1202"/>
              </w:tabs>
              <w:rPr>
                <w:sz w:val="20"/>
                <w:szCs w:val="20"/>
              </w:rPr>
            </w:pPr>
            <w:r w:rsidRPr="00255CA3">
              <w:rPr>
                <w:sz w:val="20"/>
                <w:szCs w:val="20"/>
              </w:rPr>
              <w:t>(27,173)</w:t>
            </w:r>
          </w:p>
        </w:tc>
      </w:tr>
      <w:tr w:rsidR="009F4E85" w:rsidRPr="00255CA3" w14:paraId="7AD875FF" w14:textId="77777777" w:rsidTr="009F4E85">
        <w:tc>
          <w:tcPr>
            <w:tcW w:w="6090" w:type="dxa"/>
          </w:tcPr>
          <w:p w14:paraId="28F45177" w14:textId="77777777" w:rsidR="009F4E85" w:rsidRPr="00255CA3" w:rsidRDefault="009F4E85" w:rsidP="009F4E85">
            <w:pPr>
              <w:ind w:left="321"/>
              <w:rPr>
                <w:sz w:val="20"/>
                <w:szCs w:val="20"/>
              </w:rPr>
            </w:pPr>
            <w:r w:rsidRPr="00255CA3">
              <w:rPr>
                <w:sz w:val="20"/>
                <w:szCs w:val="20"/>
              </w:rPr>
              <w:t>Redemption of convertible debentures</w:t>
            </w:r>
          </w:p>
        </w:tc>
        <w:tc>
          <w:tcPr>
            <w:tcW w:w="1488" w:type="dxa"/>
          </w:tcPr>
          <w:p w14:paraId="3FE60DAF" w14:textId="3AFD2C7F" w:rsidR="009F4E85" w:rsidRPr="00255CA3" w:rsidRDefault="009F4E85" w:rsidP="009F4E85">
            <w:pPr>
              <w:tabs>
                <w:tab w:val="decimal" w:pos="1202"/>
              </w:tabs>
              <w:rPr>
                <w:sz w:val="20"/>
                <w:szCs w:val="20"/>
              </w:rPr>
            </w:pPr>
            <w:r w:rsidRPr="00255CA3">
              <w:rPr>
                <w:sz w:val="20"/>
                <w:szCs w:val="20"/>
              </w:rPr>
              <w:t>(</w:t>
            </w:r>
            <w:r w:rsidR="00F84A40" w:rsidRPr="00255CA3">
              <w:rPr>
                <w:sz w:val="20"/>
                <w:szCs w:val="20"/>
              </w:rPr>
              <w:t>424,700</w:t>
            </w:r>
            <w:r w:rsidRPr="00255CA3">
              <w:rPr>
                <w:sz w:val="20"/>
                <w:szCs w:val="20"/>
              </w:rPr>
              <w:t>)</w:t>
            </w:r>
          </w:p>
        </w:tc>
        <w:tc>
          <w:tcPr>
            <w:tcW w:w="1488" w:type="dxa"/>
          </w:tcPr>
          <w:p w14:paraId="189C66DB" w14:textId="0586F417" w:rsidR="009F4E85" w:rsidRPr="00255CA3" w:rsidRDefault="009F4E85" w:rsidP="009F4E85">
            <w:pPr>
              <w:tabs>
                <w:tab w:val="decimal" w:pos="1202"/>
              </w:tabs>
              <w:rPr>
                <w:sz w:val="20"/>
                <w:szCs w:val="20"/>
              </w:rPr>
            </w:pPr>
            <w:r w:rsidRPr="00255CA3">
              <w:rPr>
                <w:sz w:val="20"/>
                <w:szCs w:val="20"/>
              </w:rPr>
              <w:t>(150,682)</w:t>
            </w:r>
          </w:p>
        </w:tc>
      </w:tr>
      <w:tr w:rsidR="009F4E85" w:rsidRPr="00255CA3" w14:paraId="6F770270" w14:textId="77777777" w:rsidTr="009F4E85">
        <w:tc>
          <w:tcPr>
            <w:tcW w:w="6090" w:type="dxa"/>
          </w:tcPr>
          <w:p w14:paraId="5D33B118" w14:textId="77777777" w:rsidR="009F4E85" w:rsidRPr="00255CA3" w:rsidRDefault="009F4E85" w:rsidP="009F4E85">
            <w:pPr>
              <w:ind w:left="321"/>
              <w:rPr>
                <w:sz w:val="20"/>
                <w:szCs w:val="20"/>
              </w:rPr>
            </w:pPr>
            <w:r w:rsidRPr="00255CA3">
              <w:rPr>
                <w:sz w:val="20"/>
                <w:szCs w:val="20"/>
              </w:rPr>
              <w:t>Redemption of bonds</w:t>
            </w:r>
          </w:p>
        </w:tc>
        <w:tc>
          <w:tcPr>
            <w:tcW w:w="1488" w:type="dxa"/>
          </w:tcPr>
          <w:p w14:paraId="231DD07E" w14:textId="781404D7" w:rsidR="009F4E85" w:rsidRPr="00255CA3" w:rsidRDefault="009F4E85" w:rsidP="009F4E85">
            <w:pPr>
              <w:tabs>
                <w:tab w:val="decimal" w:pos="1202"/>
              </w:tabs>
              <w:rPr>
                <w:sz w:val="20"/>
                <w:szCs w:val="20"/>
              </w:rPr>
            </w:pPr>
            <w:r w:rsidRPr="00255CA3">
              <w:rPr>
                <w:sz w:val="20"/>
                <w:szCs w:val="20"/>
              </w:rPr>
              <w:t>(</w:t>
            </w:r>
            <w:r w:rsidR="00903C4B">
              <w:rPr>
                <w:sz w:val="20"/>
                <w:szCs w:val="20"/>
              </w:rPr>
              <w:t>21,661</w:t>
            </w:r>
            <w:r w:rsidRPr="00255CA3">
              <w:rPr>
                <w:sz w:val="20"/>
                <w:szCs w:val="20"/>
              </w:rPr>
              <w:t>)</w:t>
            </w:r>
          </w:p>
        </w:tc>
        <w:tc>
          <w:tcPr>
            <w:tcW w:w="1488" w:type="dxa"/>
          </w:tcPr>
          <w:p w14:paraId="24CDBFA3" w14:textId="254EC1F7" w:rsidR="009F4E85" w:rsidRPr="00255CA3" w:rsidRDefault="009F4E85" w:rsidP="009F4E85">
            <w:pPr>
              <w:tabs>
                <w:tab w:val="decimal" w:pos="1202"/>
              </w:tabs>
              <w:rPr>
                <w:sz w:val="20"/>
                <w:szCs w:val="20"/>
              </w:rPr>
            </w:pPr>
            <w:r w:rsidRPr="00255CA3">
              <w:rPr>
                <w:sz w:val="20"/>
                <w:szCs w:val="20"/>
              </w:rPr>
              <w:t>(220,897)</w:t>
            </w:r>
          </w:p>
        </w:tc>
      </w:tr>
      <w:tr w:rsidR="009F4E85" w:rsidRPr="00255CA3" w14:paraId="438863E6" w14:textId="77777777" w:rsidTr="009F4E85">
        <w:tc>
          <w:tcPr>
            <w:tcW w:w="6090" w:type="dxa"/>
          </w:tcPr>
          <w:p w14:paraId="43A57F38" w14:textId="77777777" w:rsidR="009F4E85" w:rsidRPr="00255CA3" w:rsidRDefault="009F4E85" w:rsidP="009F4E85">
            <w:pPr>
              <w:ind w:left="321"/>
              <w:rPr>
                <w:sz w:val="20"/>
                <w:szCs w:val="20"/>
              </w:rPr>
            </w:pPr>
          </w:p>
        </w:tc>
        <w:tc>
          <w:tcPr>
            <w:tcW w:w="1488" w:type="dxa"/>
          </w:tcPr>
          <w:p w14:paraId="3F0E5CFD" w14:textId="77777777" w:rsidR="009F4E85" w:rsidRPr="00255CA3" w:rsidRDefault="009F4E85" w:rsidP="009F4E85">
            <w:pPr>
              <w:tabs>
                <w:tab w:val="decimal" w:pos="1202"/>
              </w:tabs>
              <w:rPr>
                <w:sz w:val="20"/>
                <w:szCs w:val="20"/>
              </w:rPr>
            </w:pPr>
          </w:p>
        </w:tc>
        <w:tc>
          <w:tcPr>
            <w:tcW w:w="1488" w:type="dxa"/>
          </w:tcPr>
          <w:p w14:paraId="481A01A7" w14:textId="77777777" w:rsidR="009F4E85" w:rsidRPr="00255CA3" w:rsidRDefault="009F4E85" w:rsidP="009F4E85">
            <w:pPr>
              <w:tabs>
                <w:tab w:val="decimal" w:pos="1202"/>
              </w:tabs>
              <w:rPr>
                <w:sz w:val="20"/>
                <w:szCs w:val="20"/>
              </w:rPr>
            </w:pPr>
          </w:p>
        </w:tc>
      </w:tr>
      <w:tr w:rsidR="009F4E85" w:rsidRPr="00255CA3" w14:paraId="0811AD31" w14:textId="77777777" w:rsidTr="009F4E85">
        <w:tc>
          <w:tcPr>
            <w:tcW w:w="6090" w:type="dxa"/>
          </w:tcPr>
          <w:p w14:paraId="626D4E29" w14:textId="77777777" w:rsidR="009F4E85" w:rsidRPr="00255CA3" w:rsidRDefault="009F4E85" w:rsidP="009F4E85">
            <w:pPr>
              <w:ind w:left="38"/>
              <w:rPr>
                <w:sz w:val="20"/>
                <w:szCs w:val="20"/>
              </w:rPr>
            </w:pPr>
            <w:r w:rsidRPr="00255CA3">
              <w:rPr>
                <w:b/>
                <w:bCs/>
                <w:sz w:val="20"/>
                <w:szCs w:val="20"/>
              </w:rPr>
              <w:t>Other changes</w:t>
            </w:r>
          </w:p>
        </w:tc>
        <w:tc>
          <w:tcPr>
            <w:tcW w:w="1488" w:type="dxa"/>
          </w:tcPr>
          <w:p w14:paraId="165C7268" w14:textId="77777777" w:rsidR="009F4E85" w:rsidRPr="00255CA3" w:rsidRDefault="009F4E85" w:rsidP="009F4E85">
            <w:pPr>
              <w:tabs>
                <w:tab w:val="decimal" w:pos="1202"/>
              </w:tabs>
              <w:rPr>
                <w:sz w:val="20"/>
                <w:szCs w:val="20"/>
              </w:rPr>
            </w:pPr>
          </w:p>
        </w:tc>
        <w:tc>
          <w:tcPr>
            <w:tcW w:w="1488" w:type="dxa"/>
          </w:tcPr>
          <w:p w14:paraId="24DA5AF2" w14:textId="77777777" w:rsidR="009F4E85" w:rsidRPr="00255CA3" w:rsidRDefault="009F4E85" w:rsidP="009F4E85">
            <w:pPr>
              <w:tabs>
                <w:tab w:val="decimal" w:pos="1202"/>
              </w:tabs>
              <w:rPr>
                <w:sz w:val="20"/>
                <w:szCs w:val="20"/>
              </w:rPr>
            </w:pPr>
          </w:p>
        </w:tc>
      </w:tr>
      <w:tr w:rsidR="009F4E85" w:rsidRPr="00255CA3" w14:paraId="1CC19BFA" w14:textId="77777777" w:rsidTr="009F4E85">
        <w:tc>
          <w:tcPr>
            <w:tcW w:w="6090" w:type="dxa"/>
            <w:shd w:val="clear" w:color="auto" w:fill="auto"/>
          </w:tcPr>
          <w:p w14:paraId="292DD3A5" w14:textId="77777777" w:rsidR="009F4E85" w:rsidRPr="00255CA3" w:rsidRDefault="009F4E85" w:rsidP="009F4E85">
            <w:pPr>
              <w:ind w:left="321"/>
              <w:rPr>
                <w:sz w:val="20"/>
                <w:szCs w:val="20"/>
              </w:rPr>
            </w:pPr>
            <w:r w:rsidRPr="00255CA3">
              <w:rPr>
                <w:sz w:val="20"/>
                <w:szCs w:val="20"/>
              </w:rPr>
              <w:t>Interest accrued to bond payable</w:t>
            </w:r>
          </w:p>
        </w:tc>
        <w:tc>
          <w:tcPr>
            <w:tcW w:w="1488" w:type="dxa"/>
            <w:shd w:val="clear" w:color="auto" w:fill="auto"/>
          </w:tcPr>
          <w:p w14:paraId="5E1D262C" w14:textId="4478F583" w:rsidR="009F4E85" w:rsidRPr="00255CA3" w:rsidRDefault="00903C4B" w:rsidP="009F4E85">
            <w:pPr>
              <w:tabs>
                <w:tab w:val="decimal" w:pos="1202"/>
              </w:tabs>
              <w:rPr>
                <w:sz w:val="20"/>
                <w:szCs w:val="20"/>
              </w:rPr>
            </w:pPr>
            <w:r>
              <w:rPr>
                <w:sz w:val="20"/>
                <w:szCs w:val="20"/>
              </w:rPr>
              <w:t>6,095</w:t>
            </w:r>
          </w:p>
        </w:tc>
        <w:tc>
          <w:tcPr>
            <w:tcW w:w="1488" w:type="dxa"/>
          </w:tcPr>
          <w:p w14:paraId="0B77C73C" w14:textId="5973EFA1" w:rsidR="009F4E85" w:rsidRPr="00255CA3" w:rsidRDefault="009F4E85" w:rsidP="009F4E85">
            <w:pPr>
              <w:tabs>
                <w:tab w:val="decimal" w:pos="1202"/>
              </w:tabs>
              <w:rPr>
                <w:sz w:val="20"/>
                <w:szCs w:val="20"/>
              </w:rPr>
            </w:pPr>
            <w:r w:rsidRPr="00255CA3">
              <w:rPr>
                <w:sz w:val="20"/>
                <w:szCs w:val="20"/>
              </w:rPr>
              <w:t>82,300</w:t>
            </w:r>
          </w:p>
        </w:tc>
      </w:tr>
      <w:tr w:rsidR="009F4E85" w:rsidRPr="00255CA3" w14:paraId="2AAA1587" w14:textId="77777777" w:rsidTr="009F4E85">
        <w:tc>
          <w:tcPr>
            <w:tcW w:w="6090" w:type="dxa"/>
          </w:tcPr>
          <w:p w14:paraId="1FF8C88C" w14:textId="77777777" w:rsidR="009F4E85" w:rsidRPr="00255CA3" w:rsidRDefault="009F4E85" w:rsidP="009F4E85">
            <w:pPr>
              <w:ind w:left="321"/>
              <w:rPr>
                <w:sz w:val="20"/>
                <w:szCs w:val="20"/>
              </w:rPr>
            </w:pPr>
            <w:r w:rsidRPr="00255CA3">
              <w:rPr>
                <w:sz w:val="20"/>
                <w:szCs w:val="20"/>
              </w:rPr>
              <w:t>Lease accretion</w:t>
            </w:r>
          </w:p>
        </w:tc>
        <w:tc>
          <w:tcPr>
            <w:tcW w:w="1488" w:type="dxa"/>
          </w:tcPr>
          <w:p w14:paraId="26326087" w14:textId="53C3E5D2" w:rsidR="009F4E85" w:rsidRPr="00255CA3" w:rsidRDefault="00903C4B" w:rsidP="009F4E85">
            <w:pPr>
              <w:tabs>
                <w:tab w:val="decimal" w:pos="1202"/>
              </w:tabs>
              <w:rPr>
                <w:sz w:val="20"/>
                <w:szCs w:val="20"/>
              </w:rPr>
            </w:pPr>
            <w:r>
              <w:rPr>
                <w:sz w:val="20"/>
                <w:szCs w:val="20"/>
              </w:rPr>
              <w:t>12,124</w:t>
            </w:r>
          </w:p>
        </w:tc>
        <w:tc>
          <w:tcPr>
            <w:tcW w:w="1488" w:type="dxa"/>
          </w:tcPr>
          <w:p w14:paraId="0857F9A4" w14:textId="5559CA05" w:rsidR="009F4E85" w:rsidRPr="00255CA3" w:rsidRDefault="009F4E85" w:rsidP="009F4E85">
            <w:pPr>
              <w:tabs>
                <w:tab w:val="decimal" w:pos="1202"/>
              </w:tabs>
              <w:rPr>
                <w:sz w:val="20"/>
                <w:szCs w:val="20"/>
              </w:rPr>
            </w:pPr>
            <w:r w:rsidRPr="00255CA3">
              <w:rPr>
                <w:sz w:val="20"/>
                <w:szCs w:val="20"/>
              </w:rPr>
              <w:t>36,596</w:t>
            </w:r>
          </w:p>
        </w:tc>
      </w:tr>
      <w:tr w:rsidR="009F4E85" w:rsidRPr="00255CA3" w14:paraId="15E3BBDB" w14:textId="77777777" w:rsidTr="009F4E85">
        <w:tc>
          <w:tcPr>
            <w:tcW w:w="6090" w:type="dxa"/>
            <w:shd w:val="clear" w:color="auto" w:fill="auto"/>
          </w:tcPr>
          <w:p w14:paraId="5A08B6EE" w14:textId="77777777" w:rsidR="009F4E85" w:rsidRPr="00255CA3" w:rsidRDefault="009F4E85" w:rsidP="009F4E85">
            <w:pPr>
              <w:ind w:left="321"/>
              <w:rPr>
                <w:sz w:val="20"/>
                <w:szCs w:val="20"/>
              </w:rPr>
            </w:pPr>
            <w:r w:rsidRPr="00255CA3">
              <w:rPr>
                <w:sz w:val="20"/>
                <w:szCs w:val="20"/>
              </w:rPr>
              <w:t>Equity component of convertible debentures issued</w:t>
            </w:r>
          </w:p>
        </w:tc>
        <w:tc>
          <w:tcPr>
            <w:tcW w:w="1488" w:type="dxa"/>
            <w:shd w:val="clear" w:color="auto" w:fill="auto"/>
          </w:tcPr>
          <w:p w14:paraId="1B5EAEF7" w14:textId="1FDA508C" w:rsidR="009F4E85" w:rsidRPr="00255CA3" w:rsidRDefault="00903C4B" w:rsidP="009F4E85">
            <w:pPr>
              <w:tabs>
                <w:tab w:val="decimal" w:pos="1202"/>
              </w:tabs>
              <w:rPr>
                <w:sz w:val="20"/>
                <w:szCs w:val="20"/>
              </w:rPr>
            </w:pPr>
            <w:r>
              <w:rPr>
                <w:sz w:val="20"/>
                <w:szCs w:val="20"/>
              </w:rPr>
              <w:t>(73,403)</w:t>
            </w:r>
          </w:p>
        </w:tc>
        <w:tc>
          <w:tcPr>
            <w:tcW w:w="1488" w:type="dxa"/>
          </w:tcPr>
          <w:p w14:paraId="476172E1" w14:textId="70A7FDD3" w:rsidR="009F4E85" w:rsidRPr="00255CA3" w:rsidRDefault="009F4E85" w:rsidP="009F4E85">
            <w:pPr>
              <w:tabs>
                <w:tab w:val="decimal" w:pos="1202"/>
              </w:tabs>
              <w:rPr>
                <w:sz w:val="20"/>
                <w:szCs w:val="20"/>
              </w:rPr>
            </w:pPr>
            <w:r w:rsidRPr="00255CA3">
              <w:rPr>
                <w:sz w:val="20"/>
                <w:szCs w:val="20"/>
              </w:rPr>
              <w:t>(33,292)</w:t>
            </w:r>
          </w:p>
        </w:tc>
      </w:tr>
      <w:tr w:rsidR="009F4E85" w:rsidRPr="00255CA3" w14:paraId="2AA34BDF" w14:textId="77777777" w:rsidTr="009F4E85">
        <w:tc>
          <w:tcPr>
            <w:tcW w:w="6090" w:type="dxa"/>
          </w:tcPr>
          <w:p w14:paraId="5CAA815F" w14:textId="77777777" w:rsidR="009F4E85" w:rsidRPr="00255CA3" w:rsidRDefault="009F4E85" w:rsidP="009F4E85">
            <w:pPr>
              <w:ind w:left="321"/>
              <w:rPr>
                <w:sz w:val="20"/>
                <w:szCs w:val="20"/>
              </w:rPr>
            </w:pPr>
            <w:r w:rsidRPr="00255CA3">
              <w:rPr>
                <w:sz w:val="20"/>
                <w:szCs w:val="20"/>
              </w:rPr>
              <w:t>Accretion of convertible debenture</w:t>
            </w:r>
          </w:p>
        </w:tc>
        <w:tc>
          <w:tcPr>
            <w:tcW w:w="1488" w:type="dxa"/>
          </w:tcPr>
          <w:p w14:paraId="1431F7ED" w14:textId="3CA9ADDC" w:rsidR="009F4E85" w:rsidRPr="00255CA3" w:rsidRDefault="00903C4B" w:rsidP="009F4E85">
            <w:pPr>
              <w:tabs>
                <w:tab w:val="decimal" w:pos="1202"/>
              </w:tabs>
              <w:rPr>
                <w:sz w:val="20"/>
                <w:szCs w:val="20"/>
              </w:rPr>
            </w:pPr>
            <w:r>
              <w:rPr>
                <w:sz w:val="20"/>
                <w:szCs w:val="20"/>
              </w:rPr>
              <w:t>21,851</w:t>
            </w:r>
          </w:p>
        </w:tc>
        <w:tc>
          <w:tcPr>
            <w:tcW w:w="1488" w:type="dxa"/>
          </w:tcPr>
          <w:p w14:paraId="6DE73DF4" w14:textId="77C189F3" w:rsidR="009F4E85" w:rsidRPr="00255CA3" w:rsidRDefault="009F4E85" w:rsidP="009F4E85">
            <w:pPr>
              <w:tabs>
                <w:tab w:val="decimal" w:pos="1202"/>
              </w:tabs>
              <w:rPr>
                <w:sz w:val="20"/>
                <w:szCs w:val="20"/>
              </w:rPr>
            </w:pPr>
            <w:r w:rsidRPr="00255CA3">
              <w:rPr>
                <w:sz w:val="20"/>
                <w:szCs w:val="20"/>
              </w:rPr>
              <w:t>73,642</w:t>
            </w:r>
          </w:p>
        </w:tc>
      </w:tr>
      <w:tr w:rsidR="00F84A40" w:rsidRPr="00255CA3" w14:paraId="48AC084C" w14:textId="77777777" w:rsidTr="009F4E85">
        <w:tc>
          <w:tcPr>
            <w:tcW w:w="6090" w:type="dxa"/>
          </w:tcPr>
          <w:p w14:paraId="0ABE9F8E" w14:textId="00D6958B" w:rsidR="00F84A40" w:rsidRPr="00255CA3" w:rsidRDefault="00F84A40" w:rsidP="009F4E85">
            <w:pPr>
              <w:ind w:left="321"/>
              <w:rPr>
                <w:sz w:val="20"/>
                <w:szCs w:val="20"/>
              </w:rPr>
            </w:pPr>
            <w:r w:rsidRPr="00255CA3">
              <w:rPr>
                <w:sz w:val="20"/>
                <w:szCs w:val="20"/>
              </w:rPr>
              <w:t>Accrued interest on convertible debentures</w:t>
            </w:r>
          </w:p>
        </w:tc>
        <w:tc>
          <w:tcPr>
            <w:tcW w:w="1488" w:type="dxa"/>
          </w:tcPr>
          <w:p w14:paraId="4DFBC195" w14:textId="2F039D98" w:rsidR="00F84A40" w:rsidRPr="00255CA3" w:rsidRDefault="00F84A40" w:rsidP="009F4E85">
            <w:pPr>
              <w:tabs>
                <w:tab w:val="decimal" w:pos="1202"/>
              </w:tabs>
              <w:rPr>
                <w:sz w:val="20"/>
                <w:szCs w:val="20"/>
              </w:rPr>
            </w:pPr>
            <w:r w:rsidRPr="00255CA3">
              <w:rPr>
                <w:sz w:val="20"/>
                <w:szCs w:val="20"/>
              </w:rPr>
              <w:t>7,292</w:t>
            </w:r>
          </w:p>
        </w:tc>
        <w:tc>
          <w:tcPr>
            <w:tcW w:w="1488" w:type="dxa"/>
          </w:tcPr>
          <w:p w14:paraId="4E3E5768" w14:textId="38C18BCA" w:rsidR="00F84A40" w:rsidRPr="00255CA3" w:rsidRDefault="00F84A40" w:rsidP="009F4E85">
            <w:pPr>
              <w:tabs>
                <w:tab w:val="decimal" w:pos="1202"/>
              </w:tabs>
              <w:rPr>
                <w:sz w:val="20"/>
                <w:szCs w:val="20"/>
              </w:rPr>
            </w:pPr>
            <w:r w:rsidRPr="00255CA3">
              <w:rPr>
                <w:sz w:val="20"/>
                <w:szCs w:val="20"/>
              </w:rPr>
              <w:t>-</w:t>
            </w:r>
          </w:p>
        </w:tc>
      </w:tr>
      <w:tr w:rsidR="009F4E85" w:rsidRPr="00255CA3" w14:paraId="3420B575" w14:textId="77777777" w:rsidTr="009F4E85">
        <w:tc>
          <w:tcPr>
            <w:tcW w:w="6090" w:type="dxa"/>
          </w:tcPr>
          <w:p w14:paraId="55A268BA" w14:textId="77777777" w:rsidR="009F4E85" w:rsidRPr="00255CA3" w:rsidRDefault="009F4E85" w:rsidP="009F4E85">
            <w:pPr>
              <w:ind w:left="321"/>
              <w:rPr>
                <w:sz w:val="20"/>
                <w:szCs w:val="20"/>
              </w:rPr>
            </w:pPr>
            <w:r w:rsidRPr="00255CA3">
              <w:rPr>
                <w:sz w:val="20"/>
                <w:szCs w:val="20"/>
              </w:rPr>
              <w:t>Unearned revenue</w:t>
            </w:r>
          </w:p>
        </w:tc>
        <w:tc>
          <w:tcPr>
            <w:tcW w:w="1488" w:type="dxa"/>
          </w:tcPr>
          <w:p w14:paraId="529882AF" w14:textId="6A6DB1BB" w:rsidR="009F4E85" w:rsidRPr="00255CA3" w:rsidRDefault="00F84A40" w:rsidP="009F4E85">
            <w:pPr>
              <w:tabs>
                <w:tab w:val="decimal" w:pos="1202"/>
              </w:tabs>
              <w:rPr>
                <w:sz w:val="20"/>
                <w:szCs w:val="20"/>
              </w:rPr>
            </w:pPr>
            <w:r w:rsidRPr="00255CA3">
              <w:rPr>
                <w:sz w:val="20"/>
                <w:szCs w:val="20"/>
              </w:rPr>
              <w:t>(</w:t>
            </w:r>
            <w:r w:rsidR="00903C4B">
              <w:rPr>
                <w:sz w:val="20"/>
                <w:szCs w:val="20"/>
              </w:rPr>
              <w:t>172,946</w:t>
            </w:r>
            <w:r w:rsidRPr="00255CA3">
              <w:rPr>
                <w:sz w:val="20"/>
                <w:szCs w:val="20"/>
              </w:rPr>
              <w:t>)</w:t>
            </w:r>
          </w:p>
        </w:tc>
        <w:tc>
          <w:tcPr>
            <w:tcW w:w="1488" w:type="dxa"/>
          </w:tcPr>
          <w:p w14:paraId="5C7438C5" w14:textId="56D62AAF" w:rsidR="009F4E85" w:rsidRPr="00255CA3" w:rsidRDefault="009F4E85" w:rsidP="009F4E85">
            <w:pPr>
              <w:tabs>
                <w:tab w:val="decimal" w:pos="1202"/>
              </w:tabs>
              <w:rPr>
                <w:sz w:val="20"/>
                <w:szCs w:val="20"/>
              </w:rPr>
            </w:pPr>
            <w:r w:rsidRPr="00255CA3">
              <w:rPr>
                <w:sz w:val="20"/>
                <w:szCs w:val="20"/>
              </w:rPr>
              <w:t>180,237</w:t>
            </w:r>
          </w:p>
        </w:tc>
      </w:tr>
      <w:tr w:rsidR="009F4E85" w:rsidRPr="00255CA3" w14:paraId="39CABE20" w14:textId="77777777" w:rsidTr="009F4E85">
        <w:tc>
          <w:tcPr>
            <w:tcW w:w="6090" w:type="dxa"/>
          </w:tcPr>
          <w:p w14:paraId="65DE1E19" w14:textId="77777777" w:rsidR="009F4E85" w:rsidRPr="00255CA3" w:rsidRDefault="009F4E85" w:rsidP="009F4E85">
            <w:pPr>
              <w:ind w:left="321"/>
              <w:rPr>
                <w:sz w:val="20"/>
                <w:szCs w:val="20"/>
              </w:rPr>
            </w:pPr>
            <w:r w:rsidRPr="00255CA3">
              <w:rPr>
                <w:sz w:val="20"/>
                <w:szCs w:val="20"/>
              </w:rPr>
              <w:t>Interest payable</w:t>
            </w:r>
          </w:p>
        </w:tc>
        <w:tc>
          <w:tcPr>
            <w:tcW w:w="1488" w:type="dxa"/>
          </w:tcPr>
          <w:p w14:paraId="153581B2" w14:textId="6A7D2EF2" w:rsidR="009F4E85" w:rsidRPr="00255CA3" w:rsidRDefault="00903C4B" w:rsidP="009F4E85">
            <w:pPr>
              <w:tabs>
                <w:tab w:val="decimal" w:pos="1202"/>
              </w:tabs>
              <w:rPr>
                <w:sz w:val="20"/>
                <w:szCs w:val="20"/>
              </w:rPr>
            </w:pPr>
            <w:r>
              <w:rPr>
                <w:sz w:val="20"/>
                <w:szCs w:val="20"/>
              </w:rPr>
              <w:t>87,763</w:t>
            </w:r>
          </w:p>
        </w:tc>
        <w:tc>
          <w:tcPr>
            <w:tcW w:w="1488" w:type="dxa"/>
          </w:tcPr>
          <w:p w14:paraId="74D04D4C" w14:textId="71305BB4" w:rsidR="009F4E85" w:rsidRPr="00255CA3" w:rsidRDefault="009F4E85" w:rsidP="009F4E85">
            <w:pPr>
              <w:tabs>
                <w:tab w:val="decimal" w:pos="1202"/>
              </w:tabs>
              <w:rPr>
                <w:sz w:val="20"/>
                <w:szCs w:val="20"/>
              </w:rPr>
            </w:pPr>
            <w:r w:rsidRPr="00255CA3">
              <w:rPr>
                <w:sz w:val="20"/>
                <w:szCs w:val="20"/>
              </w:rPr>
              <w:t>22,464</w:t>
            </w:r>
          </w:p>
        </w:tc>
      </w:tr>
      <w:tr w:rsidR="00903C4B" w:rsidRPr="00255CA3" w14:paraId="49420AA1" w14:textId="77777777" w:rsidTr="00BA2C24">
        <w:tc>
          <w:tcPr>
            <w:tcW w:w="6090" w:type="dxa"/>
          </w:tcPr>
          <w:p w14:paraId="3127C1F4" w14:textId="2D89F822" w:rsidR="00903C4B" w:rsidRPr="00255CA3" w:rsidRDefault="00903C4B" w:rsidP="00BA2C24">
            <w:pPr>
              <w:ind w:left="321"/>
              <w:rPr>
                <w:sz w:val="20"/>
                <w:szCs w:val="20"/>
              </w:rPr>
            </w:pPr>
            <w:r>
              <w:rPr>
                <w:sz w:val="20"/>
                <w:szCs w:val="20"/>
              </w:rPr>
              <w:t>Fair value of brokers’ warrants</w:t>
            </w:r>
          </w:p>
        </w:tc>
        <w:tc>
          <w:tcPr>
            <w:tcW w:w="1488" w:type="dxa"/>
          </w:tcPr>
          <w:p w14:paraId="5D487798" w14:textId="7E2BAF72" w:rsidR="00903C4B" w:rsidRPr="00255CA3" w:rsidRDefault="00903C4B" w:rsidP="00BA2C24">
            <w:pPr>
              <w:tabs>
                <w:tab w:val="decimal" w:pos="1202"/>
              </w:tabs>
              <w:rPr>
                <w:sz w:val="20"/>
                <w:szCs w:val="20"/>
              </w:rPr>
            </w:pPr>
            <w:r>
              <w:rPr>
                <w:sz w:val="20"/>
                <w:szCs w:val="20"/>
              </w:rPr>
              <w:t>(9,641)</w:t>
            </w:r>
          </w:p>
        </w:tc>
        <w:tc>
          <w:tcPr>
            <w:tcW w:w="1488" w:type="dxa"/>
          </w:tcPr>
          <w:p w14:paraId="4020E6C6" w14:textId="4E507FE7" w:rsidR="00903C4B" w:rsidRPr="00255CA3" w:rsidRDefault="00903C4B" w:rsidP="00BA2C24">
            <w:pPr>
              <w:tabs>
                <w:tab w:val="decimal" w:pos="1202"/>
              </w:tabs>
              <w:rPr>
                <w:sz w:val="20"/>
                <w:szCs w:val="20"/>
              </w:rPr>
            </w:pPr>
            <w:r>
              <w:rPr>
                <w:sz w:val="20"/>
                <w:szCs w:val="20"/>
              </w:rPr>
              <w:t>-</w:t>
            </w:r>
          </w:p>
        </w:tc>
      </w:tr>
      <w:tr w:rsidR="00EE7B61" w:rsidRPr="00255CA3" w14:paraId="583325A6" w14:textId="77777777" w:rsidTr="00BA2C24">
        <w:tc>
          <w:tcPr>
            <w:tcW w:w="6090" w:type="dxa"/>
          </w:tcPr>
          <w:p w14:paraId="24A71514" w14:textId="1EEB5219" w:rsidR="00EE7B61" w:rsidRDefault="00EE7B61" w:rsidP="00BA2C24">
            <w:pPr>
              <w:ind w:left="321"/>
              <w:rPr>
                <w:sz w:val="20"/>
                <w:szCs w:val="20"/>
              </w:rPr>
            </w:pPr>
            <w:r>
              <w:rPr>
                <w:sz w:val="20"/>
                <w:szCs w:val="20"/>
              </w:rPr>
              <w:t xml:space="preserve">Acquisition of </w:t>
            </w:r>
            <w:proofErr w:type="spellStart"/>
            <w:r>
              <w:rPr>
                <w:sz w:val="20"/>
                <w:szCs w:val="20"/>
              </w:rPr>
              <w:t>Inverite</w:t>
            </w:r>
            <w:proofErr w:type="spellEnd"/>
            <w:r>
              <w:rPr>
                <w:sz w:val="20"/>
                <w:szCs w:val="20"/>
              </w:rPr>
              <w:t xml:space="preserve"> – CEBA loan</w:t>
            </w:r>
          </w:p>
        </w:tc>
        <w:tc>
          <w:tcPr>
            <w:tcW w:w="1488" w:type="dxa"/>
          </w:tcPr>
          <w:p w14:paraId="38E05A30" w14:textId="6F398D4D" w:rsidR="00EE7B61" w:rsidRDefault="00EE7B61" w:rsidP="00BA2C24">
            <w:pPr>
              <w:tabs>
                <w:tab w:val="decimal" w:pos="1202"/>
              </w:tabs>
              <w:rPr>
                <w:sz w:val="20"/>
                <w:szCs w:val="20"/>
              </w:rPr>
            </w:pPr>
            <w:r>
              <w:rPr>
                <w:sz w:val="20"/>
                <w:szCs w:val="20"/>
              </w:rPr>
              <w:t>30,000</w:t>
            </w:r>
          </w:p>
        </w:tc>
        <w:tc>
          <w:tcPr>
            <w:tcW w:w="1488" w:type="dxa"/>
          </w:tcPr>
          <w:p w14:paraId="11F0A694" w14:textId="4F3D4D26" w:rsidR="00EE7B61" w:rsidRDefault="00EE7B61" w:rsidP="00BA2C24">
            <w:pPr>
              <w:tabs>
                <w:tab w:val="decimal" w:pos="1202"/>
              </w:tabs>
              <w:rPr>
                <w:sz w:val="20"/>
                <w:szCs w:val="20"/>
              </w:rPr>
            </w:pPr>
            <w:r>
              <w:rPr>
                <w:sz w:val="20"/>
                <w:szCs w:val="20"/>
              </w:rPr>
              <w:t>-</w:t>
            </w:r>
          </w:p>
        </w:tc>
      </w:tr>
      <w:tr w:rsidR="009F4E85" w:rsidRPr="00255CA3" w14:paraId="06794529" w14:textId="77777777" w:rsidTr="009F4E85">
        <w:tc>
          <w:tcPr>
            <w:tcW w:w="6090" w:type="dxa"/>
            <w:tcBorders>
              <w:top w:val="single" w:sz="4" w:space="0" w:color="auto"/>
            </w:tcBorders>
          </w:tcPr>
          <w:p w14:paraId="34C26912" w14:textId="77777777" w:rsidR="009F4E85" w:rsidRPr="00255CA3" w:rsidRDefault="009F4E85" w:rsidP="009F4E85">
            <w:pPr>
              <w:rPr>
                <w:sz w:val="20"/>
                <w:szCs w:val="20"/>
              </w:rPr>
            </w:pPr>
          </w:p>
        </w:tc>
        <w:tc>
          <w:tcPr>
            <w:tcW w:w="1488" w:type="dxa"/>
            <w:tcBorders>
              <w:top w:val="single" w:sz="4" w:space="0" w:color="auto"/>
            </w:tcBorders>
          </w:tcPr>
          <w:p w14:paraId="2145AD2F" w14:textId="77777777" w:rsidR="009F4E85" w:rsidRPr="00255CA3" w:rsidRDefault="009F4E85" w:rsidP="009F4E85">
            <w:pPr>
              <w:tabs>
                <w:tab w:val="decimal" w:pos="1202"/>
              </w:tabs>
              <w:rPr>
                <w:sz w:val="20"/>
                <w:szCs w:val="20"/>
              </w:rPr>
            </w:pPr>
          </w:p>
        </w:tc>
        <w:tc>
          <w:tcPr>
            <w:tcW w:w="1488" w:type="dxa"/>
            <w:tcBorders>
              <w:top w:val="single" w:sz="4" w:space="0" w:color="auto"/>
            </w:tcBorders>
          </w:tcPr>
          <w:p w14:paraId="1CF324CD" w14:textId="77777777" w:rsidR="009F4E85" w:rsidRPr="00255CA3" w:rsidRDefault="009F4E85" w:rsidP="009F4E85">
            <w:pPr>
              <w:tabs>
                <w:tab w:val="decimal" w:pos="1202"/>
              </w:tabs>
              <w:rPr>
                <w:sz w:val="20"/>
                <w:szCs w:val="20"/>
              </w:rPr>
            </w:pPr>
          </w:p>
        </w:tc>
      </w:tr>
      <w:tr w:rsidR="009F4E85" w:rsidRPr="00255CA3" w14:paraId="129E01F1" w14:textId="77777777" w:rsidTr="009F4E85">
        <w:tc>
          <w:tcPr>
            <w:tcW w:w="6090" w:type="dxa"/>
            <w:tcBorders>
              <w:bottom w:val="double" w:sz="4" w:space="0" w:color="auto"/>
            </w:tcBorders>
          </w:tcPr>
          <w:p w14:paraId="755EEF23" w14:textId="39B8F126" w:rsidR="009F4E85" w:rsidRPr="00255CA3" w:rsidRDefault="009F4E85" w:rsidP="009F4E85">
            <w:pPr>
              <w:rPr>
                <w:b/>
                <w:bCs/>
                <w:sz w:val="20"/>
                <w:szCs w:val="20"/>
              </w:rPr>
            </w:pPr>
            <w:r w:rsidRPr="00255CA3">
              <w:rPr>
                <w:b/>
                <w:bCs/>
                <w:sz w:val="20"/>
                <w:szCs w:val="20"/>
              </w:rPr>
              <w:t>Balance, end of the period</w:t>
            </w:r>
            <w:r w:rsidR="00BB6F35" w:rsidRPr="00255CA3">
              <w:rPr>
                <w:b/>
                <w:bCs/>
                <w:sz w:val="20"/>
                <w:szCs w:val="20"/>
              </w:rPr>
              <w:t xml:space="preserve"> / year</w:t>
            </w:r>
          </w:p>
        </w:tc>
        <w:tc>
          <w:tcPr>
            <w:tcW w:w="1488" w:type="dxa"/>
            <w:tcBorders>
              <w:bottom w:val="double" w:sz="4" w:space="0" w:color="auto"/>
            </w:tcBorders>
          </w:tcPr>
          <w:p w14:paraId="56090939" w14:textId="783BE2D9" w:rsidR="009F4E85" w:rsidRPr="00255CA3" w:rsidRDefault="009F4E85" w:rsidP="009F4E85">
            <w:pPr>
              <w:tabs>
                <w:tab w:val="left" w:pos="0"/>
                <w:tab w:val="decimal" w:pos="1202"/>
              </w:tabs>
              <w:rPr>
                <w:sz w:val="20"/>
                <w:szCs w:val="20"/>
              </w:rPr>
            </w:pPr>
            <w:r w:rsidRPr="00255CA3">
              <w:rPr>
                <w:sz w:val="20"/>
                <w:szCs w:val="20"/>
              </w:rPr>
              <w:t>$</w:t>
            </w:r>
            <w:r w:rsidRPr="00255CA3">
              <w:rPr>
                <w:sz w:val="20"/>
                <w:szCs w:val="20"/>
              </w:rPr>
              <w:tab/>
            </w:r>
            <w:r w:rsidR="00903C4B">
              <w:rPr>
                <w:sz w:val="20"/>
                <w:szCs w:val="20"/>
              </w:rPr>
              <w:t>6,837,244</w:t>
            </w:r>
          </w:p>
        </w:tc>
        <w:tc>
          <w:tcPr>
            <w:tcW w:w="1488" w:type="dxa"/>
            <w:tcBorders>
              <w:bottom w:val="double" w:sz="4" w:space="0" w:color="auto"/>
            </w:tcBorders>
          </w:tcPr>
          <w:p w14:paraId="04B05AD1" w14:textId="5F079E10" w:rsidR="009F4E85" w:rsidRPr="00255CA3" w:rsidRDefault="009F4E85" w:rsidP="009F4E85">
            <w:pPr>
              <w:tabs>
                <w:tab w:val="left" w:pos="0"/>
                <w:tab w:val="decimal" w:pos="1202"/>
              </w:tabs>
              <w:rPr>
                <w:sz w:val="20"/>
                <w:szCs w:val="20"/>
              </w:rPr>
            </w:pPr>
            <w:r w:rsidRPr="00255CA3">
              <w:rPr>
                <w:sz w:val="20"/>
                <w:szCs w:val="20"/>
              </w:rPr>
              <w:t>$</w:t>
            </w:r>
            <w:r w:rsidRPr="00255CA3">
              <w:rPr>
                <w:sz w:val="20"/>
                <w:szCs w:val="20"/>
              </w:rPr>
              <w:tab/>
              <w:t>6,237,776</w:t>
            </w:r>
          </w:p>
        </w:tc>
      </w:tr>
    </w:tbl>
    <w:p w14:paraId="032C8E5B" w14:textId="1C0F017F" w:rsidR="005A6826" w:rsidRPr="00255CA3" w:rsidRDefault="005A6826" w:rsidP="00F83821">
      <w:pPr>
        <w:ind w:left="360"/>
        <w:jc w:val="both"/>
        <w:rPr>
          <w:b/>
          <w:bCs/>
          <w:sz w:val="20"/>
          <w:szCs w:val="20"/>
          <w:lang w:val="en-US"/>
        </w:rPr>
      </w:pPr>
    </w:p>
    <w:bookmarkEnd w:id="0"/>
    <w:p w14:paraId="329D71E4" w14:textId="642B1A38" w:rsidR="00F83821" w:rsidRPr="00760411" w:rsidRDefault="006868A5" w:rsidP="00371BEA">
      <w:pPr>
        <w:pStyle w:val="ListParagraph"/>
        <w:numPr>
          <w:ilvl w:val="0"/>
          <w:numId w:val="33"/>
        </w:numPr>
        <w:ind w:left="284"/>
        <w:jc w:val="both"/>
        <w:rPr>
          <w:b/>
          <w:bCs/>
          <w:sz w:val="20"/>
          <w:szCs w:val="20"/>
        </w:rPr>
      </w:pPr>
      <w:r w:rsidRPr="00760411">
        <w:rPr>
          <w:b/>
          <w:bCs/>
          <w:sz w:val="20"/>
          <w:szCs w:val="20"/>
        </w:rPr>
        <w:t>EVENT</w:t>
      </w:r>
      <w:r w:rsidR="004F5DCC">
        <w:rPr>
          <w:b/>
          <w:bCs/>
          <w:sz w:val="20"/>
          <w:szCs w:val="20"/>
        </w:rPr>
        <w:t>S</w:t>
      </w:r>
      <w:r w:rsidRPr="00760411">
        <w:rPr>
          <w:b/>
          <w:bCs/>
          <w:sz w:val="20"/>
          <w:szCs w:val="20"/>
        </w:rPr>
        <w:t xml:space="preserve"> AFTER THE REPORTING PERIOD</w:t>
      </w:r>
    </w:p>
    <w:p w14:paraId="1DD10942" w14:textId="533FDA0E" w:rsidR="00FA18F4" w:rsidRPr="00760411" w:rsidRDefault="00FA18F4" w:rsidP="00FA18F4">
      <w:pPr>
        <w:jc w:val="both"/>
        <w:rPr>
          <w:b/>
          <w:bCs/>
          <w:sz w:val="20"/>
          <w:szCs w:val="20"/>
          <w:lang w:val="en-US"/>
        </w:rPr>
      </w:pPr>
    </w:p>
    <w:p w14:paraId="071F576F" w14:textId="14E7F29D" w:rsidR="0000179E" w:rsidRPr="0000179E" w:rsidRDefault="0000179E" w:rsidP="0000179E">
      <w:pPr>
        <w:ind w:left="357"/>
        <w:jc w:val="both"/>
        <w:rPr>
          <w:i/>
          <w:iCs/>
          <w:sz w:val="20"/>
          <w:szCs w:val="20"/>
          <w:lang w:val="en-US"/>
        </w:rPr>
      </w:pPr>
      <w:bookmarkStart w:id="14" w:name="_Hlk80197123"/>
      <w:r w:rsidRPr="0000179E">
        <w:rPr>
          <w:i/>
          <w:iCs/>
          <w:sz w:val="20"/>
          <w:szCs w:val="20"/>
          <w:lang w:val="en-US"/>
        </w:rPr>
        <w:t>Restricted Share Units Grant</w:t>
      </w:r>
    </w:p>
    <w:p w14:paraId="586CF8AF" w14:textId="678D3706" w:rsidR="0000179E" w:rsidRDefault="0000179E" w:rsidP="0000179E">
      <w:pPr>
        <w:ind w:left="357"/>
        <w:jc w:val="both"/>
        <w:rPr>
          <w:sz w:val="20"/>
          <w:szCs w:val="20"/>
          <w:lang w:val="en-US"/>
        </w:rPr>
      </w:pPr>
    </w:p>
    <w:p w14:paraId="57E46136" w14:textId="47C47A87" w:rsidR="00BD2CDE" w:rsidRDefault="0000179E" w:rsidP="009673DC">
      <w:pPr>
        <w:ind w:left="357"/>
        <w:jc w:val="both"/>
        <w:rPr>
          <w:sz w:val="20"/>
          <w:szCs w:val="20"/>
        </w:rPr>
      </w:pPr>
      <w:r>
        <w:rPr>
          <w:sz w:val="20"/>
          <w:szCs w:val="20"/>
          <w:lang w:val="en-US"/>
        </w:rPr>
        <w:t xml:space="preserve">On July 2, </w:t>
      </w:r>
      <w:proofErr w:type="gramStart"/>
      <w:r>
        <w:rPr>
          <w:sz w:val="20"/>
          <w:szCs w:val="20"/>
          <w:lang w:val="en-US"/>
        </w:rPr>
        <w:t>2021</w:t>
      </w:r>
      <w:proofErr w:type="gramEnd"/>
      <w:r>
        <w:rPr>
          <w:sz w:val="20"/>
          <w:szCs w:val="20"/>
          <w:lang w:val="en-US"/>
        </w:rPr>
        <w:t xml:space="preserve"> the Company granted 300,000</w:t>
      </w:r>
      <w:r w:rsidRPr="0000179E">
        <w:rPr>
          <w:sz w:val="20"/>
          <w:szCs w:val="20"/>
        </w:rPr>
        <w:t xml:space="preserve"> </w:t>
      </w:r>
      <w:r>
        <w:rPr>
          <w:sz w:val="20"/>
          <w:szCs w:val="20"/>
        </w:rPr>
        <w:t>RSUs to a consultant. Of the RSUs, 150,000 vest on October 2, 2021, with the remaining 150,000 vesting on January 2, 2022.</w:t>
      </w:r>
      <w:r w:rsidRPr="007160F7">
        <w:rPr>
          <w:sz w:val="20"/>
          <w:szCs w:val="20"/>
        </w:rPr>
        <w:t xml:space="preserve"> </w:t>
      </w:r>
      <w:bookmarkEnd w:id="14"/>
    </w:p>
    <w:p w14:paraId="7B15AC14" w14:textId="2CCA6848" w:rsidR="004F5DCC" w:rsidRDefault="004F5DCC" w:rsidP="0000179E">
      <w:pPr>
        <w:ind w:left="357"/>
        <w:jc w:val="both"/>
        <w:rPr>
          <w:sz w:val="20"/>
          <w:szCs w:val="20"/>
        </w:rPr>
      </w:pPr>
    </w:p>
    <w:p w14:paraId="2734A5A0" w14:textId="77777777" w:rsidR="004F5DCC" w:rsidRPr="00FC4630" w:rsidRDefault="004F5DCC" w:rsidP="004F5DCC">
      <w:pPr>
        <w:ind w:left="357"/>
        <w:jc w:val="both"/>
        <w:rPr>
          <w:i/>
          <w:iCs/>
          <w:sz w:val="20"/>
          <w:szCs w:val="20"/>
          <w:lang w:val="en-US"/>
        </w:rPr>
      </w:pPr>
      <w:r w:rsidRPr="00FC4630">
        <w:rPr>
          <w:i/>
          <w:iCs/>
          <w:sz w:val="20"/>
          <w:szCs w:val="20"/>
          <w:lang w:val="en-US"/>
        </w:rPr>
        <w:t>Credit Facility</w:t>
      </w:r>
    </w:p>
    <w:p w14:paraId="29C2A486" w14:textId="77777777" w:rsidR="004F5DCC" w:rsidRPr="00FC4630" w:rsidRDefault="004F5DCC" w:rsidP="004F5DCC">
      <w:pPr>
        <w:rPr>
          <w:color w:val="1F497D"/>
          <w:lang w:val="en-US"/>
        </w:rPr>
      </w:pPr>
    </w:p>
    <w:p w14:paraId="109DA0C8" w14:textId="7FA3EA25" w:rsidR="00341E75" w:rsidRDefault="006C149C" w:rsidP="004F5DCC">
      <w:pPr>
        <w:ind w:left="357"/>
        <w:jc w:val="both"/>
        <w:rPr>
          <w:sz w:val="20"/>
          <w:szCs w:val="20"/>
          <w:lang w:val="en-US"/>
        </w:rPr>
      </w:pPr>
      <w:r w:rsidRPr="00C53768">
        <w:rPr>
          <w:sz w:val="20"/>
          <w:szCs w:val="20"/>
          <w:lang w:val="en-US"/>
        </w:rPr>
        <w:t xml:space="preserve">On July 26, </w:t>
      </w:r>
      <w:proofErr w:type="gramStart"/>
      <w:r w:rsidRPr="00C53768">
        <w:rPr>
          <w:sz w:val="20"/>
          <w:szCs w:val="20"/>
          <w:lang w:val="en-US"/>
        </w:rPr>
        <w:t>2021</w:t>
      </w:r>
      <w:proofErr w:type="gramEnd"/>
      <w:r w:rsidRPr="00C53768">
        <w:rPr>
          <w:sz w:val="20"/>
          <w:szCs w:val="20"/>
          <w:lang w:val="en-US"/>
        </w:rPr>
        <w:t xml:space="preserve"> the Company secured funding for new Fast-Track loans through a definitive credit facility agreement (the “Credit Facility Agreement”) amongst Marble, 1301771, TPFM, and CHP Agent Services Inc. (“CHP”), a subsidiary of Cypress Hills Partners Inc.  The Credit Facility Agreement provides for a $10 million credit facility to Marble, through 1301771 as borrower, with TPFM as servicing agent for originations, adjudications, administration and monitoring of the new Fast-Track loans, and CHP acting as administrative and collateral agent on behalf of the lenders. The aggregate amount of the funding is determined as a selected percentage (the “Advance Rate”) of the outstanding Eligible Customer Loans (as defined in the Credit Facility Agreement) in the loan portfolio, adjusted for customer loan payments received less accrued but unpaid amounts </w:t>
      </w:r>
    </w:p>
    <w:p w14:paraId="544AE3CE" w14:textId="67D2D7C2" w:rsidR="00EE7B61" w:rsidRDefault="006C149C" w:rsidP="004F5DCC">
      <w:pPr>
        <w:ind w:left="357"/>
        <w:jc w:val="both"/>
        <w:rPr>
          <w:sz w:val="20"/>
          <w:szCs w:val="20"/>
          <w:lang w:val="en-US"/>
        </w:rPr>
      </w:pPr>
      <w:r w:rsidRPr="00C53768">
        <w:rPr>
          <w:sz w:val="20"/>
          <w:szCs w:val="20"/>
          <w:lang w:val="en-US"/>
        </w:rPr>
        <w:t>owing to CHP and the Lenders under the Credit Facility Agreement (the “Borrowing Base”), with an initial Advance Rate at 95% (the maximum) and a minimum threshold of 80%. The current amount of the credit facility</w:t>
      </w:r>
    </w:p>
    <w:p w14:paraId="1EAC20A5" w14:textId="77777777" w:rsidR="006C149C" w:rsidRDefault="006C149C" w:rsidP="004F5DCC">
      <w:pPr>
        <w:ind w:left="357"/>
        <w:jc w:val="both"/>
        <w:rPr>
          <w:sz w:val="20"/>
          <w:szCs w:val="20"/>
          <w:lang w:val="en-US"/>
        </w:rPr>
      </w:pPr>
    </w:p>
    <w:p w14:paraId="2EB11272" w14:textId="43A5F09F" w:rsidR="00341E75" w:rsidRPr="008C65E0" w:rsidRDefault="00341E75" w:rsidP="008C65E0">
      <w:pPr>
        <w:pStyle w:val="ListParagraph"/>
        <w:numPr>
          <w:ilvl w:val="0"/>
          <w:numId w:val="39"/>
        </w:numPr>
        <w:ind w:left="284"/>
        <w:jc w:val="both"/>
        <w:rPr>
          <w:b/>
          <w:bCs/>
          <w:sz w:val="20"/>
          <w:szCs w:val="20"/>
        </w:rPr>
      </w:pPr>
      <w:r w:rsidRPr="00760411">
        <w:rPr>
          <w:b/>
          <w:bCs/>
          <w:sz w:val="20"/>
          <w:szCs w:val="20"/>
        </w:rPr>
        <w:t>EVENT</w:t>
      </w:r>
      <w:r>
        <w:rPr>
          <w:b/>
          <w:bCs/>
          <w:sz w:val="20"/>
          <w:szCs w:val="20"/>
        </w:rPr>
        <w:t>S</w:t>
      </w:r>
      <w:r w:rsidRPr="00760411">
        <w:rPr>
          <w:b/>
          <w:bCs/>
          <w:sz w:val="20"/>
          <w:szCs w:val="20"/>
        </w:rPr>
        <w:t xml:space="preserve"> AFTER THE REPORTING PERIOD</w:t>
      </w:r>
      <w:r>
        <w:rPr>
          <w:b/>
          <w:bCs/>
          <w:sz w:val="20"/>
          <w:szCs w:val="20"/>
        </w:rPr>
        <w:t xml:space="preserve"> </w:t>
      </w:r>
      <w:r w:rsidRPr="008C65E0">
        <w:rPr>
          <w:i/>
          <w:iCs/>
          <w:sz w:val="20"/>
          <w:szCs w:val="20"/>
        </w:rPr>
        <w:t>(cont’d…)</w:t>
      </w:r>
    </w:p>
    <w:p w14:paraId="2A8060E9" w14:textId="77777777" w:rsidR="00EE7B61" w:rsidRDefault="00EE7B61" w:rsidP="004F5DCC">
      <w:pPr>
        <w:ind w:left="357"/>
        <w:jc w:val="both"/>
        <w:rPr>
          <w:sz w:val="20"/>
          <w:szCs w:val="20"/>
          <w:lang w:val="en-US"/>
        </w:rPr>
      </w:pPr>
    </w:p>
    <w:p w14:paraId="4FA4A05B" w14:textId="4298B542" w:rsidR="006C149C" w:rsidRPr="00835C5B" w:rsidRDefault="006C149C" w:rsidP="00835C5B">
      <w:pPr>
        <w:ind w:left="284"/>
        <w:jc w:val="both"/>
        <w:rPr>
          <w:sz w:val="20"/>
          <w:szCs w:val="20"/>
          <w:lang w:val="en-US"/>
        </w:rPr>
      </w:pPr>
      <w:r w:rsidRPr="00835C5B">
        <w:rPr>
          <w:sz w:val="20"/>
          <w:szCs w:val="20"/>
          <w:lang w:val="en-US"/>
        </w:rPr>
        <w:t>is $10,000,000 (the “Facility Amount”), with an option to increase the amount to $20,000,000 upon mutual agreement. Interest is charged at Canadian Prime (subject to a ceiling of 5.0% and a floor of 3.5%) plus 13%, with a provisional discount if the Advance Rate is less than 95%. The maturity date for all funds advanced is three (3) years after the date of the first funding advance, with an option to extend for a further two (2) years upon mutual agreement. In connection with the Credit Facility Agreement, 1301171 has provided a general security agreement (“GSA”) and each of Marble and TPFM has provided a limited guarantee and a “bad act” guarantee together with a GSA. Upon borrowing funds, the Company must also maintain $300,000 in unrestricted cash, and the Company has provided CHP with board of director observer rights and a right of first refusal on any additional debt or securitization financing beyond the Facility Amount.</w:t>
      </w:r>
    </w:p>
    <w:p w14:paraId="6C0F60AD" w14:textId="1A551D55" w:rsidR="004F5DCC" w:rsidRDefault="004F5DCC" w:rsidP="0000179E">
      <w:pPr>
        <w:ind w:left="357"/>
        <w:jc w:val="both"/>
        <w:rPr>
          <w:sz w:val="20"/>
          <w:szCs w:val="20"/>
        </w:rPr>
      </w:pPr>
    </w:p>
    <w:p w14:paraId="0BC02B9E" w14:textId="72AC218D" w:rsidR="004F5DCC" w:rsidRPr="008C65E0" w:rsidRDefault="004F5DCC" w:rsidP="0000179E">
      <w:pPr>
        <w:ind w:left="357"/>
        <w:jc w:val="both"/>
        <w:rPr>
          <w:i/>
          <w:iCs/>
          <w:sz w:val="20"/>
          <w:szCs w:val="20"/>
          <w:lang w:val="en-US"/>
        </w:rPr>
      </w:pPr>
      <w:r w:rsidRPr="008C65E0">
        <w:rPr>
          <w:i/>
          <w:iCs/>
          <w:sz w:val="20"/>
          <w:szCs w:val="20"/>
          <w:lang w:val="en-US"/>
        </w:rPr>
        <w:t>Convertible Debenture Extension</w:t>
      </w:r>
      <w:r>
        <w:rPr>
          <w:i/>
          <w:iCs/>
          <w:sz w:val="20"/>
          <w:szCs w:val="20"/>
          <w:lang w:val="en-US"/>
        </w:rPr>
        <w:t>s</w:t>
      </w:r>
    </w:p>
    <w:p w14:paraId="1A3AD52C" w14:textId="77777777" w:rsidR="004F5DCC" w:rsidRDefault="004F5DCC" w:rsidP="0000179E">
      <w:pPr>
        <w:ind w:left="357"/>
        <w:jc w:val="both"/>
        <w:rPr>
          <w:sz w:val="20"/>
          <w:szCs w:val="20"/>
        </w:rPr>
      </w:pPr>
    </w:p>
    <w:p w14:paraId="67C04210" w14:textId="16DCF5BC" w:rsidR="004F5DCC" w:rsidRDefault="004F5DCC" w:rsidP="004F5DCC">
      <w:pPr>
        <w:ind w:left="357"/>
        <w:jc w:val="both"/>
        <w:rPr>
          <w:sz w:val="20"/>
          <w:szCs w:val="20"/>
          <w:lang w:val="en-US"/>
        </w:rPr>
      </w:pPr>
      <w:r w:rsidRPr="008C65E0">
        <w:rPr>
          <w:sz w:val="20"/>
          <w:szCs w:val="20"/>
          <w:lang w:val="en-US"/>
        </w:rPr>
        <w:t xml:space="preserve">In </w:t>
      </w:r>
      <w:proofErr w:type="gramStart"/>
      <w:r w:rsidRPr="008C65E0">
        <w:rPr>
          <w:sz w:val="20"/>
          <w:szCs w:val="20"/>
          <w:lang w:val="en-US"/>
        </w:rPr>
        <w:t>August,</w:t>
      </w:r>
      <w:proofErr w:type="gramEnd"/>
      <w:r w:rsidRPr="008C65E0">
        <w:rPr>
          <w:sz w:val="20"/>
          <w:szCs w:val="20"/>
          <w:lang w:val="en-US"/>
        </w:rPr>
        <w:t xml:space="preserve"> 2021, the Company entered into amending agreements with convertible debenture holders to extend the maturity date of an aggregate principal amount of $1,303,000 of convertible debentures due July 7, 2022 to December 31, 2022, and in respect of the underlying warrants issuable on conversion to extend their expiry date from January 7, 2023 to June 30, 2023.  The principal amount of the convertible debentures is convertible into units at a price of $0.30 per unit, with each unit being comprised of one common share and one-half warrant, with a whole warrant being exercisable to purchase a common share at $0.45 until June 30, 2023 (extended from January 7, </w:t>
      </w:r>
      <w:proofErr w:type="gramStart"/>
      <w:r w:rsidRPr="008C65E0">
        <w:rPr>
          <w:sz w:val="20"/>
          <w:szCs w:val="20"/>
          <w:lang w:val="en-US"/>
        </w:rPr>
        <w:t>2023</w:t>
      </w:r>
      <w:proofErr w:type="gramEnd"/>
      <w:r w:rsidRPr="008C65E0">
        <w:rPr>
          <w:sz w:val="20"/>
          <w:szCs w:val="20"/>
          <w:lang w:val="en-US"/>
        </w:rPr>
        <w:t xml:space="preserve"> pursuant to the above mentioned amending agreement).</w:t>
      </w:r>
    </w:p>
    <w:p w14:paraId="35CBE126" w14:textId="2101F42E" w:rsidR="00BD2CDE" w:rsidRDefault="00BD2CDE" w:rsidP="004F5DCC">
      <w:pPr>
        <w:ind w:left="357"/>
        <w:jc w:val="both"/>
        <w:rPr>
          <w:sz w:val="20"/>
          <w:szCs w:val="20"/>
          <w:lang w:val="en-US"/>
        </w:rPr>
      </w:pPr>
    </w:p>
    <w:p w14:paraId="6441C93A" w14:textId="3805EDC9" w:rsidR="00BD2CDE" w:rsidRPr="00232FC2" w:rsidRDefault="00BD2CDE" w:rsidP="00BD2CDE">
      <w:pPr>
        <w:ind w:left="357"/>
        <w:jc w:val="both"/>
        <w:rPr>
          <w:i/>
          <w:sz w:val="20"/>
          <w:szCs w:val="20"/>
        </w:rPr>
      </w:pPr>
      <w:r w:rsidRPr="00232FC2">
        <w:rPr>
          <w:i/>
          <w:sz w:val="20"/>
          <w:szCs w:val="20"/>
        </w:rPr>
        <w:t>S</w:t>
      </w:r>
      <w:r>
        <w:rPr>
          <w:i/>
          <w:sz w:val="20"/>
          <w:szCs w:val="20"/>
        </w:rPr>
        <w:t>hare Purchase</w:t>
      </w:r>
      <w:r w:rsidRPr="00232FC2">
        <w:rPr>
          <w:i/>
          <w:sz w:val="20"/>
          <w:szCs w:val="20"/>
        </w:rPr>
        <w:t xml:space="preserve"> Option</w:t>
      </w:r>
      <w:r>
        <w:rPr>
          <w:i/>
          <w:sz w:val="20"/>
          <w:szCs w:val="20"/>
        </w:rPr>
        <w:t>s</w:t>
      </w:r>
      <w:r w:rsidRPr="00232FC2">
        <w:rPr>
          <w:i/>
          <w:sz w:val="20"/>
          <w:szCs w:val="20"/>
        </w:rPr>
        <w:t xml:space="preserve"> Grant</w:t>
      </w:r>
    </w:p>
    <w:p w14:paraId="4AD1A111" w14:textId="77777777" w:rsidR="00BD2CDE" w:rsidRPr="00232FC2" w:rsidRDefault="00BD2CDE" w:rsidP="00BD2CDE">
      <w:pPr>
        <w:ind w:left="357"/>
        <w:jc w:val="both"/>
        <w:rPr>
          <w:i/>
          <w:sz w:val="20"/>
          <w:szCs w:val="20"/>
        </w:rPr>
      </w:pPr>
    </w:p>
    <w:p w14:paraId="671CF1B3" w14:textId="3B21143B" w:rsidR="00BD2CDE" w:rsidRDefault="00BD2CDE" w:rsidP="00BD2CDE">
      <w:pPr>
        <w:ind w:left="357"/>
        <w:jc w:val="both"/>
        <w:rPr>
          <w:sz w:val="20"/>
          <w:szCs w:val="20"/>
        </w:rPr>
      </w:pPr>
      <w:r w:rsidRPr="00232FC2">
        <w:rPr>
          <w:sz w:val="20"/>
          <w:szCs w:val="20"/>
        </w:rPr>
        <w:t xml:space="preserve">On </w:t>
      </w:r>
      <w:r>
        <w:rPr>
          <w:sz w:val="20"/>
          <w:szCs w:val="20"/>
        </w:rPr>
        <w:t>August 27, 2021</w:t>
      </w:r>
      <w:r w:rsidRPr="00232FC2">
        <w:rPr>
          <w:sz w:val="20"/>
          <w:szCs w:val="20"/>
        </w:rPr>
        <w:t xml:space="preserve">, </w:t>
      </w:r>
      <w:r>
        <w:rPr>
          <w:sz w:val="20"/>
          <w:szCs w:val="20"/>
        </w:rPr>
        <w:t>the Company</w:t>
      </w:r>
      <w:r w:rsidRPr="00232FC2">
        <w:rPr>
          <w:sz w:val="20"/>
          <w:szCs w:val="20"/>
        </w:rPr>
        <w:t xml:space="preserve"> granted </w:t>
      </w:r>
      <w:r>
        <w:rPr>
          <w:sz w:val="20"/>
          <w:szCs w:val="20"/>
        </w:rPr>
        <w:t>25,000 share purchase options</w:t>
      </w:r>
      <w:r w:rsidRPr="00232FC2">
        <w:rPr>
          <w:sz w:val="20"/>
          <w:szCs w:val="20"/>
        </w:rPr>
        <w:t xml:space="preserve"> exercisable at $0.</w:t>
      </w:r>
      <w:r>
        <w:rPr>
          <w:sz w:val="20"/>
          <w:szCs w:val="20"/>
        </w:rPr>
        <w:t>17</w:t>
      </w:r>
      <w:r w:rsidRPr="00232FC2">
        <w:rPr>
          <w:sz w:val="20"/>
          <w:szCs w:val="20"/>
        </w:rPr>
        <w:t xml:space="preserve"> per </w:t>
      </w:r>
      <w:r>
        <w:rPr>
          <w:sz w:val="20"/>
          <w:szCs w:val="20"/>
        </w:rPr>
        <w:t xml:space="preserve">common </w:t>
      </w:r>
      <w:r w:rsidRPr="00232FC2">
        <w:rPr>
          <w:sz w:val="20"/>
          <w:szCs w:val="20"/>
        </w:rPr>
        <w:t xml:space="preserve">share with an expiry date of </w:t>
      </w:r>
      <w:r>
        <w:rPr>
          <w:sz w:val="20"/>
          <w:szCs w:val="20"/>
        </w:rPr>
        <w:t>August 27, 2026</w:t>
      </w:r>
      <w:r w:rsidRPr="00232FC2">
        <w:rPr>
          <w:sz w:val="20"/>
          <w:szCs w:val="20"/>
        </w:rPr>
        <w:t xml:space="preserve">.  The </w:t>
      </w:r>
      <w:r>
        <w:rPr>
          <w:sz w:val="20"/>
          <w:szCs w:val="20"/>
        </w:rPr>
        <w:t>share purchase options</w:t>
      </w:r>
      <w:r w:rsidRPr="00232FC2">
        <w:rPr>
          <w:sz w:val="20"/>
          <w:szCs w:val="20"/>
        </w:rPr>
        <w:t xml:space="preserve"> are subject to standard vesting provisions of 25% on the date of grant and 25% on each anniversary date, such that all </w:t>
      </w:r>
      <w:r>
        <w:rPr>
          <w:sz w:val="20"/>
          <w:szCs w:val="20"/>
        </w:rPr>
        <w:t>share purchase options</w:t>
      </w:r>
      <w:r w:rsidRPr="00232FC2">
        <w:rPr>
          <w:sz w:val="20"/>
          <w:szCs w:val="20"/>
        </w:rPr>
        <w:t xml:space="preserve"> fully vest over </w:t>
      </w:r>
      <w:r>
        <w:rPr>
          <w:sz w:val="20"/>
          <w:szCs w:val="20"/>
        </w:rPr>
        <w:t>three</w:t>
      </w:r>
      <w:r w:rsidRPr="00232FC2">
        <w:rPr>
          <w:sz w:val="20"/>
          <w:szCs w:val="20"/>
        </w:rPr>
        <w:t xml:space="preserve"> years from the date of grant.</w:t>
      </w:r>
    </w:p>
    <w:p w14:paraId="5585F9AD" w14:textId="172B1DFD" w:rsidR="00BD2CDE" w:rsidRDefault="00BD2CDE" w:rsidP="004F5DCC">
      <w:pPr>
        <w:ind w:left="357"/>
        <w:jc w:val="both"/>
        <w:rPr>
          <w:sz w:val="20"/>
          <w:szCs w:val="20"/>
          <w:lang w:val="en-US"/>
        </w:rPr>
      </w:pPr>
    </w:p>
    <w:p w14:paraId="55B35AC5" w14:textId="77777777" w:rsidR="004F5DCC" w:rsidRDefault="004F5DCC" w:rsidP="004F5DCC">
      <w:pPr>
        <w:pStyle w:val="ListParagraph"/>
        <w:rPr>
          <w:color w:val="1F497D"/>
          <w:lang w:val="en-US"/>
        </w:rPr>
      </w:pPr>
    </w:p>
    <w:p w14:paraId="44364B73" w14:textId="77777777" w:rsidR="004F5DCC" w:rsidRDefault="004F5DCC" w:rsidP="004F5DCC">
      <w:pPr>
        <w:ind w:left="357"/>
        <w:jc w:val="both"/>
        <w:rPr>
          <w:i/>
          <w:iCs/>
          <w:sz w:val="20"/>
          <w:szCs w:val="20"/>
          <w:lang w:val="en-US"/>
        </w:rPr>
      </w:pPr>
    </w:p>
    <w:p w14:paraId="186F6C9D" w14:textId="77777777" w:rsidR="004F5DCC" w:rsidRDefault="004F5DCC" w:rsidP="004F5DCC">
      <w:pPr>
        <w:ind w:left="357"/>
        <w:jc w:val="both"/>
        <w:rPr>
          <w:i/>
          <w:iCs/>
          <w:sz w:val="20"/>
          <w:szCs w:val="20"/>
          <w:lang w:val="en-US"/>
        </w:rPr>
      </w:pPr>
    </w:p>
    <w:p w14:paraId="5389330E" w14:textId="77777777" w:rsidR="004F5DCC" w:rsidRDefault="004F5DCC" w:rsidP="004F5DCC">
      <w:pPr>
        <w:ind w:left="357"/>
        <w:jc w:val="both"/>
        <w:rPr>
          <w:i/>
          <w:iCs/>
          <w:sz w:val="20"/>
          <w:szCs w:val="20"/>
          <w:lang w:val="en-US"/>
        </w:rPr>
      </w:pPr>
    </w:p>
    <w:p w14:paraId="69F73040" w14:textId="77777777" w:rsidR="004F5DCC" w:rsidRDefault="004F5DCC" w:rsidP="004F5DCC">
      <w:pPr>
        <w:ind w:left="357"/>
        <w:jc w:val="both"/>
        <w:rPr>
          <w:i/>
          <w:iCs/>
          <w:sz w:val="20"/>
          <w:szCs w:val="20"/>
          <w:lang w:val="en-US"/>
        </w:rPr>
      </w:pPr>
    </w:p>
    <w:p w14:paraId="1D3E2967" w14:textId="77777777" w:rsidR="004F5DCC" w:rsidRDefault="004F5DCC" w:rsidP="008C65E0">
      <w:pPr>
        <w:jc w:val="both"/>
        <w:rPr>
          <w:sz w:val="20"/>
          <w:szCs w:val="20"/>
          <w:lang w:val="en-US"/>
        </w:rPr>
      </w:pPr>
    </w:p>
    <w:sectPr w:rsidR="004F5DCC" w:rsidSect="00E03F07">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2A7F" w14:textId="77777777" w:rsidR="00373E47" w:rsidRDefault="00373E47" w:rsidP="00DC28EA">
      <w:r>
        <w:separator/>
      </w:r>
    </w:p>
  </w:endnote>
  <w:endnote w:type="continuationSeparator" w:id="0">
    <w:p w14:paraId="75EABE24" w14:textId="77777777" w:rsidR="00373E47" w:rsidRDefault="00373E47" w:rsidP="00DC28EA">
      <w:r>
        <w:continuationSeparator/>
      </w:r>
    </w:p>
  </w:endnote>
  <w:endnote w:type="continuationNotice" w:id="1">
    <w:p w14:paraId="3A27147C" w14:textId="77777777" w:rsidR="00373E47" w:rsidRDefault="00373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Rm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423193"/>
      <w:docPartObj>
        <w:docPartGallery w:val="Page Numbers (Bottom of Page)"/>
        <w:docPartUnique/>
      </w:docPartObj>
    </w:sdtPr>
    <w:sdtEndPr>
      <w:rPr>
        <w:noProof/>
        <w:sz w:val="20"/>
        <w:szCs w:val="20"/>
      </w:rPr>
    </w:sdtEndPr>
    <w:sdtContent>
      <w:p w14:paraId="47DD387D" w14:textId="77777777" w:rsidR="003051B2" w:rsidRPr="00DC28EA" w:rsidRDefault="00835C5B">
        <w:pPr>
          <w:pStyle w:val="Footer"/>
          <w:jc w:val="center"/>
          <w:rPr>
            <w:sz w:val="20"/>
            <w:szCs w:val="20"/>
          </w:rPr>
        </w:pPr>
      </w:p>
    </w:sdtContent>
  </w:sdt>
  <w:p w14:paraId="0CCCDDD1" w14:textId="77777777" w:rsidR="003051B2" w:rsidRDefault="00305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697487"/>
      <w:docPartObj>
        <w:docPartGallery w:val="Page Numbers (Bottom of Page)"/>
        <w:docPartUnique/>
      </w:docPartObj>
    </w:sdtPr>
    <w:sdtEndPr>
      <w:rPr>
        <w:noProof/>
        <w:sz w:val="20"/>
        <w:szCs w:val="20"/>
      </w:rPr>
    </w:sdtEndPr>
    <w:sdtContent>
      <w:p w14:paraId="7484C286" w14:textId="77777777" w:rsidR="003051B2" w:rsidRPr="00DC28EA" w:rsidRDefault="003051B2">
        <w:pPr>
          <w:pStyle w:val="Footer"/>
          <w:jc w:val="center"/>
          <w:rPr>
            <w:sz w:val="20"/>
            <w:szCs w:val="20"/>
          </w:rPr>
        </w:pPr>
        <w:r w:rsidRPr="00DC28EA">
          <w:rPr>
            <w:sz w:val="20"/>
            <w:szCs w:val="20"/>
          </w:rPr>
          <w:fldChar w:fldCharType="begin"/>
        </w:r>
        <w:r w:rsidRPr="00DC28EA">
          <w:rPr>
            <w:sz w:val="20"/>
            <w:szCs w:val="20"/>
          </w:rPr>
          <w:instrText xml:space="preserve"> PAGE   \* MERGEFORMAT </w:instrText>
        </w:r>
        <w:r w:rsidRPr="00DC28EA">
          <w:rPr>
            <w:sz w:val="20"/>
            <w:szCs w:val="20"/>
          </w:rPr>
          <w:fldChar w:fldCharType="separate"/>
        </w:r>
        <w:r w:rsidR="0059769B">
          <w:rPr>
            <w:noProof/>
            <w:sz w:val="20"/>
            <w:szCs w:val="20"/>
          </w:rPr>
          <w:t>1</w:t>
        </w:r>
        <w:r w:rsidRPr="00DC28EA">
          <w:rPr>
            <w:noProof/>
            <w:sz w:val="20"/>
            <w:szCs w:val="20"/>
          </w:rPr>
          <w:fldChar w:fldCharType="end"/>
        </w:r>
      </w:p>
    </w:sdtContent>
  </w:sdt>
  <w:p w14:paraId="242793AE" w14:textId="77777777" w:rsidR="003051B2" w:rsidRDefault="00305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31934"/>
      <w:docPartObj>
        <w:docPartGallery w:val="Page Numbers (Bottom of Page)"/>
        <w:docPartUnique/>
      </w:docPartObj>
    </w:sdtPr>
    <w:sdtEndPr>
      <w:rPr>
        <w:noProof/>
        <w:sz w:val="20"/>
        <w:szCs w:val="20"/>
      </w:rPr>
    </w:sdtEndPr>
    <w:sdtContent>
      <w:p w14:paraId="02B6C59E" w14:textId="77777777" w:rsidR="003051B2" w:rsidRPr="00DC28EA" w:rsidRDefault="003051B2">
        <w:pPr>
          <w:pStyle w:val="Footer"/>
          <w:jc w:val="center"/>
          <w:rPr>
            <w:sz w:val="20"/>
            <w:szCs w:val="20"/>
          </w:rPr>
        </w:pPr>
        <w:r w:rsidRPr="00DC28EA">
          <w:rPr>
            <w:sz w:val="20"/>
            <w:szCs w:val="20"/>
          </w:rPr>
          <w:fldChar w:fldCharType="begin"/>
        </w:r>
        <w:r w:rsidRPr="00DC28EA">
          <w:rPr>
            <w:sz w:val="20"/>
            <w:szCs w:val="20"/>
          </w:rPr>
          <w:instrText xml:space="preserve"> PAGE   \* MERGEFORMAT </w:instrText>
        </w:r>
        <w:r w:rsidRPr="00DC28EA">
          <w:rPr>
            <w:sz w:val="20"/>
            <w:szCs w:val="20"/>
          </w:rPr>
          <w:fldChar w:fldCharType="separate"/>
        </w:r>
        <w:r w:rsidR="0059769B">
          <w:rPr>
            <w:noProof/>
            <w:sz w:val="20"/>
            <w:szCs w:val="20"/>
          </w:rPr>
          <w:t>16</w:t>
        </w:r>
        <w:r w:rsidRPr="00DC28EA">
          <w:rPr>
            <w:noProof/>
            <w:sz w:val="20"/>
            <w:szCs w:val="20"/>
          </w:rPr>
          <w:fldChar w:fldCharType="end"/>
        </w:r>
      </w:p>
    </w:sdtContent>
  </w:sdt>
  <w:p w14:paraId="38C7E91C" w14:textId="77777777" w:rsidR="003051B2" w:rsidRDefault="0030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0607" w14:textId="77777777" w:rsidR="00373E47" w:rsidRDefault="00373E47" w:rsidP="00DC28EA">
      <w:r>
        <w:separator/>
      </w:r>
    </w:p>
  </w:footnote>
  <w:footnote w:type="continuationSeparator" w:id="0">
    <w:p w14:paraId="6BDEE269" w14:textId="77777777" w:rsidR="00373E47" w:rsidRDefault="00373E47" w:rsidP="00DC28EA">
      <w:r>
        <w:continuationSeparator/>
      </w:r>
    </w:p>
  </w:footnote>
  <w:footnote w:type="continuationNotice" w:id="1">
    <w:p w14:paraId="2DD52141" w14:textId="77777777" w:rsidR="00373E47" w:rsidRDefault="00373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EA6" w14:textId="6865C5AA" w:rsidR="003051B2" w:rsidRDefault="003051B2">
    <w:pPr>
      <w:pStyle w:val="Header"/>
      <w:rPr>
        <w:sz w:val="20"/>
        <w:szCs w:val="20"/>
      </w:rPr>
    </w:pPr>
    <w:r>
      <w:rPr>
        <w:b/>
        <w:bCs/>
        <w:sz w:val="20"/>
        <w:szCs w:val="20"/>
      </w:rPr>
      <w:t xml:space="preserve">MARBLE FINANCIAL INC. </w:t>
    </w:r>
    <w:r>
      <w:rPr>
        <w:sz w:val="20"/>
        <w:szCs w:val="20"/>
      </w:rPr>
      <w:br/>
      <w:t>Condensed Consolidated Interim Statements of Financial Position</w:t>
    </w:r>
  </w:p>
  <w:p w14:paraId="13DF5415" w14:textId="1340BBC7" w:rsidR="003051B2" w:rsidRPr="00DC28EA" w:rsidRDefault="003051B2" w:rsidP="00DC28EA">
    <w:pPr>
      <w:pStyle w:val="Header"/>
      <w:rPr>
        <w:sz w:val="20"/>
        <w:szCs w:val="20"/>
      </w:rPr>
    </w:pPr>
    <w:r>
      <w:rPr>
        <w:sz w:val="20"/>
        <w:szCs w:val="20"/>
      </w:rPr>
      <w:t>(</w:t>
    </w:r>
    <w:r w:rsidR="00AE5124">
      <w:rPr>
        <w:sz w:val="20"/>
        <w:szCs w:val="20"/>
      </w:rPr>
      <w:t xml:space="preserve">Unaudited – </w:t>
    </w:r>
    <w:r>
      <w:rPr>
        <w:sz w:val="20"/>
        <w:szCs w:val="20"/>
      </w:rPr>
      <w:t xml:space="preserve">Presented in Canadian Dollars)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EF32" w14:textId="3F024483" w:rsidR="003051B2" w:rsidRDefault="003051B2">
    <w:pPr>
      <w:pStyle w:val="Header"/>
      <w:rPr>
        <w:sz w:val="20"/>
        <w:szCs w:val="20"/>
      </w:rPr>
    </w:pPr>
    <w:r>
      <w:rPr>
        <w:b/>
        <w:bCs/>
        <w:sz w:val="20"/>
        <w:szCs w:val="20"/>
      </w:rPr>
      <w:t>MARBLE FINANCIAL INC.</w:t>
    </w:r>
    <w:r w:rsidR="00481F6D">
      <w:rPr>
        <w:sz w:val="20"/>
        <w:szCs w:val="20"/>
      </w:rPr>
      <w:t xml:space="preserve"> </w:t>
    </w:r>
    <w:r>
      <w:rPr>
        <w:sz w:val="20"/>
        <w:szCs w:val="20"/>
      </w:rPr>
      <w:br/>
      <w:t>Condensed Consolidated Interim Statements of Loss and Comprehensive Loss</w:t>
    </w:r>
  </w:p>
  <w:p w14:paraId="10340CE3" w14:textId="5EF727E4" w:rsidR="003051B2" w:rsidRPr="00DC28EA" w:rsidRDefault="003051B2" w:rsidP="00DC28EA">
    <w:pPr>
      <w:pStyle w:val="Header"/>
      <w:rPr>
        <w:sz w:val="20"/>
        <w:szCs w:val="20"/>
      </w:rPr>
    </w:pPr>
    <w:r>
      <w:rPr>
        <w:sz w:val="20"/>
        <w:szCs w:val="20"/>
      </w:rPr>
      <w:t>(</w:t>
    </w:r>
    <w:r w:rsidR="007C1891">
      <w:rPr>
        <w:sz w:val="20"/>
        <w:szCs w:val="20"/>
      </w:rPr>
      <w:t xml:space="preserve">Unaudited – </w:t>
    </w:r>
    <w:r>
      <w:rPr>
        <w:sz w:val="20"/>
        <w:szCs w:val="20"/>
      </w:rPr>
      <w:t xml:space="preserve">Presented in Canadian Dollars)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66AD" w14:textId="77777777" w:rsidR="00481F6D" w:rsidRDefault="003051B2">
    <w:pPr>
      <w:pStyle w:val="Header"/>
      <w:rPr>
        <w:b/>
        <w:bCs/>
        <w:sz w:val="20"/>
        <w:szCs w:val="20"/>
      </w:rPr>
    </w:pPr>
    <w:r>
      <w:rPr>
        <w:b/>
        <w:bCs/>
        <w:sz w:val="20"/>
        <w:szCs w:val="20"/>
      </w:rPr>
      <w:t xml:space="preserve">MARBLE FINANCIAL INC. </w:t>
    </w:r>
  </w:p>
  <w:p w14:paraId="7855878B" w14:textId="27ABF1B5" w:rsidR="003051B2" w:rsidRDefault="003051B2">
    <w:pPr>
      <w:pStyle w:val="Header"/>
      <w:rPr>
        <w:sz w:val="20"/>
        <w:szCs w:val="20"/>
      </w:rPr>
    </w:pPr>
    <w:r>
      <w:rPr>
        <w:sz w:val="20"/>
        <w:szCs w:val="20"/>
      </w:rPr>
      <w:t>Condensed Consolidated Interim Statements of Changes in Shareholders’ Deficiency</w:t>
    </w:r>
  </w:p>
  <w:p w14:paraId="043DC58D" w14:textId="01844CD4" w:rsidR="003051B2" w:rsidRPr="00DC28EA" w:rsidRDefault="003051B2" w:rsidP="00DC28EA">
    <w:pPr>
      <w:pStyle w:val="Header"/>
      <w:rPr>
        <w:sz w:val="20"/>
        <w:szCs w:val="20"/>
      </w:rPr>
    </w:pPr>
    <w:r>
      <w:rPr>
        <w:sz w:val="20"/>
        <w:szCs w:val="20"/>
      </w:rPr>
      <w:t>(</w:t>
    </w:r>
    <w:r w:rsidR="00137FDB">
      <w:rPr>
        <w:sz w:val="20"/>
        <w:szCs w:val="20"/>
      </w:rPr>
      <w:t xml:space="preserve">Unaudited – </w:t>
    </w:r>
    <w:r>
      <w:rPr>
        <w:sz w:val="20"/>
        <w:szCs w:val="20"/>
      </w:rPr>
      <w:t xml:space="preserve">Presented in Canadian Dollars)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BB51" w14:textId="38DB87ED" w:rsidR="003051B2" w:rsidRDefault="003051B2">
    <w:pPr>
      <w:pStyle w:val="Header"/>
      <w:rPr>
        <w:sz w:val="20"/>
        <w:szCs w:val="20"/>
      </w:rPr>
    </w:pPr>
    <w:r>
      <w:rPr>
        <w:b/>
        <w:bCs/>
        <w:sz w:val="20"/>
        <w:szCs w:val="20"/>
      </w:rPr>
      <w:t xml:space="preserve">MARBLE FINANCIAL INC. </w:t>
    </w:r>
    <w:r>
      <w:rPr>
        <w:sz w:val="20"/>
        <w:szCs w:val="20"/>
      </w:rPr>
      <w:br/>
      <w:t xml:space="preserve">Condensed Consolidated Interim Statements of Cash Flows </w:t>
    </w:r>
  </w:p>
  <w:p w14:paraId="6432EF1C" w14:textId="1FF2EA3F" w:rsidR="003051B2" w:rsidRPr="00DC28EA" w:rsidRDefault="003051B2" w:rsidP="00DC28EA">
    <w:pPr>
      <w:pStyle w:val="Header"/>
      <w:rPr>
        <w:sz w:val="20"/>
        <w:szCs w:val="20"/>
      </w:rPr>
    </w:pPr>
    <w:r>
      <w:rPr>
        <w:sz w:val="20"/>
        <w:szCs w:val="20"/>
      </w:rPr>
      <w:t>(</w:t>
    </w:r>
    <w:r w:rsidR="00B75725">
      <w:rPr>
        <w:sz w:val="20"/>
        <w:szCs w:val="20"/>
      </w:rPr>
      <w:t xml:space="preserve">Unaudited – </w:t>
    </w:r>
    <w:r>
      <w:rPr>
        <w:sz w:val="20"/>
        <w:szCs w:val="20"/>
      </w:rPr>
      <w:t>Presented in Canadian Dollars)</w:t>
    </w: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A1D" w14:textId="58FA5BC0" w:rsidR="003051B2" w:rsidRDefault="003051B2">
    <w:pPr>
      <w:pStyle w:val="Header"/>
      <w:rPr>
        <w:sz w:val="20"/>
        <w:szCs w:val="20"/>
      </w:rPr>
    </w:pPr>
    <w:r>
      <w:rPr>
        <w:b/>
        <w:bCs/>
        <w:sz w:val="20"/>
        <w:szCs w:val="20"/>
      </w:rPr>
      <w:t xml:space="preserve">MARBLE FINANCIAL INC. </w:t>
    </w:r>
    <w:r>
      <w:rPr>
        <w:sz w:val="20"/>
        <w:szCs w:val="20"/>
      </w:rPr>
      <w:br/>
      <w:t>Notes to the Condensed Consolidated Interim Financial Statements</w:t>
    </w:r>
  </w:p>
  <w:p w14:paraId="7D20E0A1" w14:textId="3563B54C" w:rsidR="003051B2" w:rsidRDefault="003051B2">
    <w:pPr>
      <w:pStyle w:val="Header"/>
      <w:rPr>
        <w:sz w:val="20"/>
        <w:szCs w:val="20"/>
      </w:rPr>
    </w:pPr>
    <w:r>
      <w:rPr>
        <w:sz w:val="20"/>
        <w:szCs w:val="20"/>
      </w:rPr>
      <w:t xml:space="preserve">For the </w:t>
    </w:r>
    <w:r w:rsidR="00FB5388">
      <w:rPr>
        <w:sz w:val="20"/>
        <w:szCs w:val="20"/>
      </w:rPr>
      <w:t xml:space="preserve">three and </w:t>
    </w:r>
    <w:r w:rsidR="00C117D6">
      <w:rPr>
        <w:sz w:val="20"/>
        <w:szCs w:val="20"/>
      </w:rPr>
      <w:t>six months</w:t>
    </w:r>
    <w:r>
      <w:rPr>
        <w:sz w:val="20"/>
        <w:szCs w:val="20"/>
      </w:rPr>
      <w:t xml:space="preserve"> ended </w:t>
    </w:r>
    <w:r w:rsidR="00C117D6">
      <w:rPr>
        <w:sz w:val="20"/>
        <w:szCs w:val="20"/>
      </w:rPr>
      <w:t>June 30</w:t>
    </w:r>
    <w:r>
      <w:rPr>
        <w:sz w:val="20"/>
        <w:szCs w:val="20"/>
      </w:rPr>
      <w:t xml:space="preserve">, </w:t>
    </w:r>
    <w:proofErr w:type="gramStart"/>
    <w:r w:rsidR="00E73C53">
      <w:rPr>
        <w:sz w:val="20"/>
        <w:szCs w:val="20"/>
      </w:rPr>
      <w:t>2021</w:t>
    </w:r>
    <w:proofErr w:type="gramEnd"/>
    <w:r w:rsidR="00E73C53">
      <w:rPr>
        <w:sz w:val="20"/>
        <w:szCs w:val="20"/>
      </w:rPr>
      <w:t xml:space="preserve"> and 20</w:t>
    </w:r>
    <w:r w:rsidR="00C86ACF">
      <w:rPr>
        <w:sz w:val="20"/>
        <w:szCs w:val="20"/>
      </w:rPr>
      <w:t>20</w:t>
    </w:r>
    <w:r>
      <w:rPr>
        <w:sz w:val="20"/>
        <w:szCs w:val="20"/>
      </w:rPr>
      <w:tab/>
    </w:r>
  </w:p>
  <w:p w14:paraId="7156863C" w14:textId="22109A1C" w:rsidR="003051B2" w:rsidRPr="00DC28EA" w:rsidRDefault="003051B2" w:rsidP="00142E6E">
    <w:pPr>
      <w:pStyle w:val="Header"/>
      <w:pBdr>
        <w:bottom w:val="double" w:sz="4" w:space="1" w:color="auto"/>
      </w:pBdr>
      <w:rPr>
        <w:sz w:val="20"/>
        <w:szCs w:val="20"/>
      </w:rPr>
    </w:pPr>
    <w:r>
      <w:rPr>
        <w:sz w:val="20"/>
        <w:szCs w:val="20"/>
      </w:rPr>
      <w:t>(</w:t>
    </w:r>
    <w:r w:rsidR="00AE5124">
      <w:rPr>
        <w:sz w:val="20"/>
        <w:szCs w:val="20"/>
      </w:rPr>
      <w:t xml:space="preserve">Unaudited – </w:t>
    </w:r>
    <w:r>
      <w:rPr>
        <w:sz w:val="20"/>
        <w:szCs w:val="20"/>
      </w:rPr>
      <w:t xml:space="preserve">Presented in Canadian Dollars)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8E2"/>
    <w:multiLevelType w:val="hybridMultilevel"/>
    <w:tmpl w:val="3828C876"/>
    <w:lvl w:ilvl="0" w:tplc="C1A2F412">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403F6"/>
    <w:multiLevelType w:val="hybridMultilevel"/>
    <w:tmpl w:val="38D81DD6"/>
    <w:lvl w:ilvl="0" w:tplc="2D32432A">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15F29"/>
    <w:multiLevelType w:val="hybridMultilevel"/>
    <w:tmpl w:val="EBDE56E0"/>
    <w:lvl w:ilvl="0" w:tplc="AFF6DE06">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9615CA"/>
    <w:multiLevelType w:val="hybridMultilevel"/>
    <w:tmpl w:val="3550B6EC"/>
    <w:lvl w:ilvl="0" w:tplc="B1F22490">
      <w:start w:val="3"/>
      <w:numFmt w:val="lowerLetter"/>
      <w:lvlText w:val="%1)"/>
      <w:lvlJc w:val="left"/>
      <w:pPr>
        <w:ind w:left="720" w:hanging="360"/>
      </w:pPr>
      <w:rPr>
        <w:rFonts w:hint="default"/>
        <w:b/>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6A01E5"/>
    <w:multiLevelType w:val="hybridMultilevel"/>
    <w:tmpl w:val="A1B064D4"/>
    <w:lvl w:ilvl="0" w:tplc="1934380A">
      <w:start w:val="12"/>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400BE8"/>
    <w:multiLevelType w:val="hybridMultilevel"/>
    <w:tmpl w:val="32869284"/>
    <w:lvl w:ilvl="0" w:tplc="AF0267D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B04D07"/>
    <w:multiLevelType w:val="hybridMultilevel"/>
    <w:tmpl w:val="DF462C12"/>
    <w:lvl w:ilvl="0" w:tplc="74AA02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0811D8"/>
    <w:multiLevelType w:val="hybridMultilevel"/>
    <w:tmpl w:val="886E6AA0"/>
    <w:lvl w:ilvl="0" w:tplc="2A6CCD7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A90F2C"/>
    <w:multiLevelType w:val="hybridMultilevel"/>
    <w:tmpl w:val="B98A6B6A"/>
    <w:lvl w:ilvl="0" w:tplc="F3EC53EE">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1D0E64"/>
    <w:multiLevelType w:val="hybridMultilevel"/>
    <w:tmpl w:val="90D82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0266F9"/>
    <w:multiLevelType w:val="hybridMultilevel"/>
    <w:tmpl w:val="6CF210EC"/>
    <w:lvl w:ilvl="0" w:tplc="E990E900">
      <w:start w:val="11"/>
      <w:numFmt w:val="decimal"/>
      <w:lvlText w:val="%1."/>
      <w:lvlJc w:val="left"/>
      <w:pPr>
        <w:ind w:left="36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D391F"/>
    <w:multiLevelType w:val="hybridMultilevel"/>
    <w:tmpl w:val="2A3A3B74"/>
    <w:lvl w:ilvl="0" w:tplc="15D85976">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1D44E0"/>
    <w:multiLevelType w:val="hybridMultilevel"/>
    <w:tmpl w:val="31F0158A"/>
    <w:lvl w:ilvl="0" w:tplc="5804F3D8">
      <w:start w:val="12"/>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543B5E"/>
    <w:multiLevelType w:val="hybridMultilevel"/>
    <w:tmpl w:val="659204E8"/>
    <w:lvl w:ilvl="0" w:tplc="CD6651F4">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C704A"/>
    <w:multiLevelType w:val="hybridMultilevel"/>
    <w:tmpl w:val="368CE6BC"/>
    <w:lvl w:ilvl="0" w:tplc="53DEC0A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FC2890"/>
    <w:multiLevelType w:val="hybridMultilevel"/>
    <w:tmpl w:val="A78AF0DE"/>
    <w:lvl w:ilvl="0" w:tplc="C71AD14E">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BE08C1"/>
    <w:multiLevelType w:val="hybridMultilevel"/>
    <w:tmpl w:val="659204E8"/>
    <w:lvl w:ilvl="0" w:tplc="CD6651F4">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4638CD"/>
    <w:multiLevelType w:val="hybridMultilevel"/>
    <w:tmpl w:val="886E6AA0"/>
    <w:lvl w:ilvl="0" w:tplc="2A6CCD7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4074E1"/>
    <w:multiLevelType w:val="hybridMultilevel"/>
    <w:tmpl w:val="62ACF5E2"/>
    <w:lvl w:ilvl="0" w:tplc="A26A6A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7262EA"/>
    <w:multiLevelType w:val="hybridMultilevel"/>
    <w:tmpl w:val="CD3063A0"/>
    <w:lvl w:ilvl="0" w:tplc="0DDAD61C">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6A229B"/>
    <w:multiLevelType w:val="hybridMultilevel"/>
    <w:tmpl w:val="9A38D3DC"/>
    <w:lvl w:ilvl="0" w:tplc="264695F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6110C9"/>
    <w:multiLevelType w:val="hybridMultilevel"/>
    <w:tmpl w:val="E66EBCE2"/>
    <w:lvl w:ilvl="0" w:tplc="A26A6A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F42E67"/>
    <w:multiLevelType w:val="hybridMultilevel"/>
    <w:tmpl w:val="E58EF878"/>
    <w:lvl w:ilvl="0" w:tplc="36AA9A0E">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A11873"/>
    <w:multiLevelType w:val="hybridMultilevel"/>
    <w:tmpl w:val="3CC0F546"/>
    <w:lvl w:ilvl="0" w:tplc="DA42B37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504268"/>
    <w:multiLevelType w:val="hybridMultilevel"/>
    <w:tmpl w:val="BF7CAF3E"/>
    <w:lvl w:ilvl="0" w:tplc="EDEAB8EA">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6E5DE6"/>
    <w:multiLevelType w:val="hybridMultilevel"/>
    <w:tmpl w:val="390C0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2E33F2"/>
    <w:multiLevelType w:val="hybridMultilevel"/>
    <w:tmpl w:val="A78AF0DE"/>
    <w:lvl w:ilvl="0" w:tplc="C71AD14E">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355993"/>
    <w:multiLevelType w:val="hybridMultilevel"/>
    <w:tmpl w:val="4F7496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EC14B28"/>
    <w:multiLevelType w:val="hybridMultilevel"/>
    <w:tmpl w:val="1CFE9CC0"/>
    <w:lvl w:ilvl="0" w:tplc="A26A6A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0771265"/>
    <w:multiLevelType w:val="hybridMultilevel"/>
    <w:tmpl w:val="D06A166C"/>
    <w:lvl w:ilvl="0" w:tplc="37A628B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CA61E8"/>
    <w:multiLevelType w:val="hybridMultilevel"/>
    <w:tmpl w:val="8C286B36"/>
    <w:lvl w:ilvl="0" w:tplc="461CF98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0B4643"/>
    <w:multiLevelType w:val="hybridMultilevel"/>
    <w:tmpl w:val="62ACF5E2"/>
    <w:lvl w:ilvl="0" w:tplc="A26A6A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8311BD"/>
    <w:multiLevelType w:val="hybridMultilevel"/>
    <w:tmpl w:val="6D3E5CBC"/>
    <w:lvl w:ilvl="0" w:tplc="8AC42B06">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8C01A7"/>
    <w:multiLevelType w:val="hybridMultilevel"/>
    <w:tmpl w:val="BB44C822"/>
    <w:lvl w:ilvl="0" w:tplc="37AABBA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28270D"/>
    <w:multiLevelType w:val="hybridMultilevel"/>
    <w:tmpl w:val="93222908"/>
    <w:lvl w:ilvl="0" w:tplc="8002359A">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AB5F78"/>
    <w:multiLevelType w:val="hybridMultilevel"/>
    <w:tmpl w:val="70644598"/>
    <w:lvl w:ilvl="0" w:tplc="3D1482EA">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412D6A"/>
    <w:multiLevelType w:val="hybridMultilevel"/>
    <w:tmpl w:val="026A0B32"/>
    <w:lvl w:ilvl="0" w:tplc="FD2E867C">
      <w:start w:val="1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312724"/>
    <w:multiLevelType w:val="hybridMultilevel"/>
    <w:tmpl w:val="7F7077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6654BAA"/>
    <w:multiLevelType w:val="hybridMultilevel"/>
    <w:tmpl w:val="AE406D6E"/>
    <w:lvl w:ilvl="0" w:tplc="C04238F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FF5B83"/>
    <w:multiLevelType w:val="hybridMultilevel"/>
    <w:tmpl w:val="D77A0A30"/>
    <w:lvl w:ilvl="0" w:tplc="705E2488">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7"/>
  </w:num>
  <w:num w:numId="3">
    <w:abstractNumId w:val="37"/>
  </w:num>
  <w:num w:numId="4">
    <w:abstractNumId w:val="9"/>
  </w:num>
  <w:num w:numId="5">
    <w:abstractNumId w:val="31"/>
  </w:num>
  <w:num w:numId="6">
    <w:abstractNumId w:val="6"/>
  </w:num>
  <w:num w:numId="7">
    <w:abstractNumId w:val="33"/>
  </w:num>
  <w:num w:numId="8">
    <w:abstractNumId w:val="1"/>
  </w:num>
  <w:num w:numId="9">
    <w:abstractNumId w:val="20"/>
  </w:num>
  <w:num w:numId="10">
    <w:abstractNumId w:val="23"/>
  </w:num>
  <w:num w:numId="11">
    <w:abstractNumId w:val="7"/>
  </w:num>
  <w:num w:numId="12">
    <w:abstractNumId w:val="17"/>
  </w:num>
  <w:num w:numId="13">
    <w:abstractNumId w:val="35"/>
  </w:num>
  <w:num w:numId="14">
    <w:abstractNumId w:val="14"/>
  </w:num>
  <w:num w:numId="15">
    <w:abstractNumId w:val="29"/>
  </w:num>
  <w:num w:numId="16">
    <w:abstractNumId w:val="30"/>
  </w:num>
  <w:num w:numId="17">
    <w:abstractNumId w:val="3"/>
  </w:num>
  <w:num w:numId="18">
    <w:abstractNumId w:val="10"/>
  </w:num>
  <w:num w:numId="19">
    <w:abstractNumId w:val="19"/>
  </w:num>
  <w:num w:numId="20">
    <w:abstractNumId w:val="36"/>
  </w:num>
  <w:num w:numId="21">
    <w:abstractNumId w:val="8"/>
  </w:num>
  <w:num w:numId="22">
    <w:abstractNumId w:val="2"/>
  </w:num>
  <w:num w:numId="23">
    <w:abstractNumId w:val="28"/>
  </w:num>
  <w:num w:numId="24">
    <w:abstractNumId w:val="13"/>
  </w:num>
  <w:num w:numId="25">
    <w:abstractNumId w:val="16"/>
  </w:num>
  <w:num w:numId="26">
    <w:abstractNumId w:val="5"/>
  </w:num>
  <w:num w:numId="27">
    <w:abstractNumId w:val="34"/>
  </w:num>
  <w:num w:numId="28">
    <w:abstractNumId w:val="38"/>
  </w:num>
  <w:num w:numId="29">
    <w:abstractNumId w:val="32"/>
  </w:num>
  <w:num w:numId="30">
    <w:abstractNumId w:val="12"/>
  </w:num>
  <w:num w:numId="31">
    <w:abstractNumId w:val="22"/>
  </w:num>
  <w:num w:numId="32">
    <w:abstractNumId w:val="4"/>
  </w:num>
  <w:num w:numId="33">
    <w:abstractNumId w:val="24"/>
  </w:num>
  <w:num w:numId="34">
    <w:abstractNumId w:val="39"/>
  </w:num>
  <w:num w:numId="35">
    <w:abstractNumId w:val="0"/>
  </w:num>
  <w:num w:numId="36">
    <w:abstractNumId w:val="15"/>
  </w:num>
  <w:num w:numId="37">
    <w:abstractNumId w:val="18"/>
  </w:num>
  <w:num w:numId="38">
    <w:abstractNumId w:val="21"/>
  </w:num>
  <w:num w:numId="39">
    <w:abstractNumId w:val="11"/>
  </w:num>
  <w:num w:numId="4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EA"/>
    <w:rsid w:val="0000179E"/>
    <w:rsid w:val="00005632"/>
    <w:rsid w:val="0001305D"/>
    <w:rsid w:val="00022B08"/>
    <w:rsid w:val="00022BED"/>
    <w:rsid w:val="000315D1"/>
    <w:rsid w:val="00032420"/>
    <w:rsid w:val="000326A5"/>
    <w:rsid w:val="0003752A"/>
    <w:rsid w:val="00040E3E"/>
    <w:rsid w:val="0004168B"/>
    <w:rsid w:val="00043BD6"/>
    <w:rsid w:val="00044B9C"/>
    <w:rsid w:val="00044F74"/>
    <w:rsid w:val="000522A1"/>
    <w:rsid w:val="0005585E"/>
    <w:rsid w:val="00055EB1"/>
    <w:rsid w:val="00056095"/>
    <w:rsid w:val="00063DB5"/>
    <w:rsid w:val="00067D31"/>
    <w:rsid w:val="00073E54"/>
    <w:rsid w:val="0007463E"/>
    <w:rsid w:val="00075F7C"/>
    <w:rsid w:val="00076989"/>
    <w:rsid w:val="00085ADD"/>
    <w:rsid w:val="00096524"/>
    <w:rsid w:val="000A01D2"/>
    <w:rsid w:val="000A3B93"/>
    <w:rsid w:val="000A4B13"/>
    <w:rsid w:val="000A50B9"/>
    <w:rsid w:val="000B6F6F"/>
    <w:rsid w:val="000C23DB"/>
    <w:rsid w:val="000D36AC"/>
    <w:rsid w:val="000D39E2"/>
    <w:rsid w:val="000D6D27"/>
    <w:rsid w:val="000D6DF7"/>
    <w:rsid w:val="000D760A"/>
    <w:rsid w:val="000F111F"/>
    <w:rsid w:val="000F1CFD"/>
    <w:rsid w:val="000F5413"/>
    <w:rsid w:val="000F57CD"/>
    <w:rsid w:val="00116AAE"/>
    <w:rsid w:val="00116EEF"/>
    <w:rsid w:val="00120196"/>
    <w:rsid w:val="00124FC5"/>
    <w:rsid w:val="001331C4"/>
    <w:rsid w:val="0013374B"/>
    <w:rsid w:val="00137FDB"/>
    <w:rsid w:val="00140564"/>
    <w:rsid w:val="0014158B"/>
    <w:rsid w:val="00141B43"/>
    <w:rsid w:val="00142E6E"/>
    <w:rsid w:val="00143095"/>
    <w:rsid w:val="00143556"/>
    <w:rsid w:val="00143A6C"/>
    <w:rsid w:val="0014476C"/>
    <w:rsid w:val="001449B7"/>
    <w:rsid w:val="0014628E"/>
    <w:rsid w:val="001510E0"/>
    <w:rsid w:val="0015286B"/>
    <w:rsid w:val="00157C2F"/>
    <w:rsid w:val="00162E88"/>
    <w:rsid w:val="00164C97"/>
    <w:rsid w:val="001653E1"/>
    <w:rsid w:val="00166764"/>
    <w:rsid w:val="00172BAF"/>
    <w:rsid w:val="00173132"/>
    <w:rsid w:val="00173C5D"/>
    <w:rsid w:val="00177CA3"/>
    <w:rsid w:val="00182E92"/>
    <w:rsid w:val="001838D1"/>
    <w:rsid w:val="001959D1"/>
    <w:rsid w:val="001972CD"/>
    <w:rsid w:val="001A1B79"/>
    <w:rsid w:val="001A45DD"/>
    <w:rsid w:val="001B061F"/>
    <w:rsid w:val="001B2846"/>
    <w:rsid w:val="001B6026"/>
    <w:rsid w:val="001B63CD"/>
    <w:rsid w:val="001C17CB"/>
    <w:rsid w:val="001C63DE"/>
    <w:rsid w:val="001D2DFC"/>
    <w:rsid w:val="001D6165"/>
    <w:rsid w:val="001E2B25"/>
    <w:rsid w:val="001E31E3"/>
    <w:rsid w:val="001E4A0F"/>
    <w:rsid w:val="001F0BA7"/>
    <w:rsid w:val="00202BAE"/>
    <w:rsid w:val="00203509"/>
    <w:rsid w:val="00204750"/>
    <w:rsid w:val="00204C9F"/>
    <w:rsid w:val="0021034B"/>
    <w:rsid w:val="002131D4"/>
    <w:rsid w:val="002163E7"/>
    <w:rsid w:val="00217396"/>
    <w:rsid w:val="00222CD5"/>
    <w:rsid w:val="00225115"/>
    <w:rsid w:val="0022740A"/>
    <w:rsid w:val="00230005"/>
    <w:rsid w:val="00233CCD"/>
    <w:rsid w:val="002369B5"/>
    <w:rsid w:val="00242FE7"/>
    <w:rsid w:val="00250BD2"/>
    <w:rsid w:val="00255276"/>
    <w:rsid w:val="0025574C"/>
    <w:rsid w:val="00255CA3"/>
    <w:rsid w:val="00255D66"/>
    <w:rsid w:val="00255F25"/>
    <w:rsid w:val="002601BD"/>
    <w:rsid w:val="002644A2"/>
    <w:rsid w:val="00265EBA"/>
    <w:rsid w:val="002712AF"/>
    <w:rsid w:val="00273578"/>
    <w:rsid w:val="00273726"/>
    <w:rsid w:val="0027738B"/>
    <w:rsid w:val="00280C07"/>
    <w:rsid w:val="00280CC4"/>
    <w:rsid w:val="00282F54"/>
    <w:rsid w:val="002836CB"/>
    <w:rsid w:val="00286F5B"/>
    <w:rsid w:val="00290D9C"/>
    <w:rsid w:val="00291A12"/>
    <w:rsid w:val="00295E46"/>
    <w:rsid w:val="002A1129"/>
    <w:rsid w:val="002A298D"/>
    <w:rsid w:val="002A347A"/>
    <w:rsid w:val="002A7FD8"/>
    <w:rsid w:val="002B01E4"/>
    <w:rsid w:val="002B2D4A"/>
    <w:rsid w:val="002B5C71"/>
    <w:rsid w:val="002B6A4F"/>
    <w:rsid w:val="002B6BF2"/>
    <w:rsid w:val="002B71B0"/>
    <w:rsid w:val="002C2CB3"/>
    <w:rsid w:val="002C5C60"/>
    <w:rsid w:val="002C6D7A"/>
    <w:rsid w:val="002C74B1"/>
    <w:rsid w:val="002C7FFD"/>
    <w:rsid w:val="002D2CC2"/>
    <w:rsid w:val="002E1EBC"/>
    <w:rsid w:val="002E3FE0"/>
    <w:rsid w:val="002E79E4"/>
    <w:rsid w:val="002F067D"/>
    <w:rsid w:val="002F20C9"/>
    <w:rsid w:val="002F48D1"/>
    <w:rsid w:val="002F4DD7"/>
    <w:rsid w:val="002F50CC"/>
    <w:rsid w:val="002F66F7"/>
    <w:rsid w:val="002F6CE4"/>
    <w:rsid w:val="003004FA"/>
    <w:rsid w:val="003009C6"/>
    <w:rsid w:val="003051B2"/>
    <w:rsid w:val="00307FAD"/>
    <w:rsid w:val="00310DF8"/>
    <w:rsid w:val="00312FB5"/>
    <w:rsid w:val="00315E24"/>
    <w:rsid w:val="00316055"/>
    <w:rsid w:val="00316FF1"/>
    <w:rsid w:val="00321D4F"/>
    <w:rsid w:val="00322084"/>
    <w:rsid w:val="00324C87"/>
    <w:rsid w:val="0032542E"/>
    <w:rsid w:val="00330A1C"/>
    <w:rsid w:val="003312A9"/>
    <w:rsid w:val="003317E9"/>
    <w:rsid w:val="003324CA"/>
    <w:rsid w:val="00334C30"/>
    <w:rsid w:val="00337092"/>
    <w:rsid w:val="00341E75"/>
    <w:rsid w:val="00347085"/>
    <w:rsid w:val="00351CCD"/>
    <w:rsid w:val="00352D38"/>
    <w:rsid w:val="00355E50"/>
    <w:rsid w:val="00356867"/>
    <w:rsid w:val="00356E7B"/>
    <w:rsid w:val="0037068E"/>
    <w:rsid w:val="00371791"/>
    <w:rsid w:val="00371BEA"/>
    <w:rsid w:val="00373374"/>
    <w:rsid w:val="00373E47"/>
    <w:rsid w:val="00375985"/>
    <w:rsid w:val="00380233"/>
    <w:rsid w:val="00380D86"/>
    <w:rsid w:val="00383D6E"/>
    <w:rsid w:val="00386CF3"/>
    <w:rsid w:val="00387677"/>
    <w:rsid w:val="00390FFC"/>
    <w:rsid w:val="003910DC"/>
    <w:rsid w:val="00393A62"/>
    <w:rsid w:val="00394701"/>
    <w:rsid w:val="003A374E"/>
    <w:rsid w:val="003A58EC"/>
    <w:rsid w:val="003A6FEA"/>
    <w:rsid w:val="003A7B1D"/>
    <w:rsid w:val="003B218D"/>
    <w:rsid w:val="003B5BF1"/>
    <w:rsid w:val="003B61CD"/>
    <w:rsid w:val="003C08B9"/>
    <w:rsid w:val="003C362E"/>
    <w:rsid w:val="003C7461"/>
    <w:rsid w:val="003D1BEA"/>
    <w:rsid w:val="003E07BF"/>
    <w:rsid w:val="003E2FBB"/>
    <w:rsid w:val="003E7918"/>
    <w:rsid w:val="003F1939"/>
    <w:rsid w:val="003F1FF8"/>
    <w:rsid w:val="003F319F"/>
    <w:rsid w:val="003F370E"/>
    <w:rsid w:val="00400166"/>
    <w:rsid w:val="00401113"/>
    <w:rsid w:val="0040116E"/>
    <w:rsid w:val="00405862"/>
    <w:rsid w:val="0040601C"/>
    <w:rsid w:val="00406E08"/>
    <w:rsid w:val="00410D37"/>
    <w:rsid w:val="004179DF"/>
    <w:rsid w:val="00417B0F"/>
    <w:rsid w:val="00423759"/>
    <w:rsid w:val="0042638F"/>
    <w:rsid w:val="0042707E"/>
    <w:rsid w:val="00427467"/>
    <w:rsid w:val="00431CBA"/>
    <w:rsid w:val="00431E2F"/>
    <w:rsid w:val="00434BBF"/>
    <w:rsid w:val="00435E02"/>
    <w:rsid w:val="0043787F"/>
    <w:rsid w:val="0044039C"/>
    <w:rsid w:val="00441EAC"/>
    <w:rsid w:val="00443305"/>
    <w:rsid w:val="00444FBF"/>
    <w:rsid w:val="00446755"/>
    <w:rsid w:val="00456AA1"/>
    <w:rsid w:val="00457DC3"/>
    <w:rsid w:val="00460FC4"/>
    <w:rsid w:val="00461E68"/>
    <w:rsid w:val="00467D85"/>
    <w:rsid w:val="0047367D"/>
    <w:rsid w:val="00474197"/>
    <w:rsid w:val="004744BE"/>
    <w:rsid w:val="00481F6D"/>
    <w:rsid w:val="00482112"/>
    <w:rsid w:val="004853C0"/>
    <w:rsid w:val="00491758"/>
    <w:rsid w:val="00494A6A"/>
    <w:rsid w:val="004958F5"/>
    <w:rsid w:val="00497156"/>
    <w:rsid w:val="00497859"/>
    <w:rsid w:val="004A4F7A"/>
    <w:rsid w:val="004A6129"/>
    <w:rsid w:val="004B3502"/>
    <w:rsid w:val="004B388F"/>
    <w:rsid w:val="004B6592"/>
    <w:rsid w:val="004B69A1"/>
    <w:rsid w:val="004B7944"/>
    <w:rsid w:val="004C065A"/>
    <w:rsid w:val="004C1099"/>
    <w:rsid w:val="004C2BDF"/>
    <w:rsid w:val="004C6260"/>
    <w:rsid w:val="004C6F3F"/>
    <w:rsid w:val="004D0021"/>
    <w:rsid w:val="004D15D7"/>
    <w:rsid w:val="004D1747"/>
    <w:rsid w:val="004D21A4"/>
    <w:rsid w:val="004D3A4C"/>
    <w:rsid w:val="004D3B81"/>
    <w:rsid w:val="004E2916"/>
    <w:rsid w:val="004E3F6D"/>
    <w:rsid w:val="004E498A"/>
    <w:rsid w:val="004E7E7D"/>
    <w:rsid w:val="004F0DB6"/>
    <w:rsid w:val="004F2989"/>
    <w:rsid w:val="004F38A3"/>
    <w:rsid w:val="004F55B2"/>
    <w:rsid w:val="004F5DCC"/>
    <w:rsid w:val="004F7056"/>
    <w:rsid w:val="004F78F3"/>
    <w:rsid w:val="00502F2B"/>
    <w:rsid w:val="00510B09"/>
    <w:rsid w:val="00510B76"/>
    <w:rsid w:val="00512735"/>
    <w:rsid w:val="00514313"/>
    <w:rsid w:val="00520131"/>
    <w:rsid w:val="005223F5"/>
    <w:rsid w:val="005231B4"/>
    <w:rsid w:val="005231D1"/>
    <w:rsid w:val="00526114"/>
    <w:rsid w:val="005264C4"/>
    <w:rsid w:val="00526C62"/>
    <w:rsid w:val="005330FB"/>
    <w:rsid w:val="0053419C"/>
    <w:rsid w:val="00535992"/>
    <w:rsid w:val="00536B4D"/>
    <w:rsid w:val="00536BDC"/>
    <w:rsid w:val="00543F04"/>
    <w:rsid w:val="00545646"/>
    <w:rsid w:val="0054616D"/>
    <w:rsid w:val="005507ED"/>
    <w:rsid w:val="00555906"/>
    <w:rsid w:val="00561501"/>
    <w:rsid w:val="0056275C"/>
    <w:rsid w:val="00563BF1"/>
    <w:rsid w:val="00564BF4"/>
    <w:rsid w:val="00565EC4"/>
    <w:rsid w:val="00567985"/>
    <w:rsid w:val="00573E54"/>
    <w:rsid w:val="005742A5"/>
    <w:rsid w:val="00574468"/>
    <w:rsid w:val="00574C9F"/>
    <w:rsid w:val="005755FC"/>
    <w:rsid w:val="005808AA"/>
    <w:rsid w:val="00581195"/>
    <w:rsid w:val="00581596"/>
    <w:rsid w:val="005821DC"/>
    <w:rsid w:val="00583AFB"/>
    <w:rsid w:val="005859E3"/>
    <w:rsid w:val="00586213"/>
    <w:rsid w:val="00590BCA"/>
    <w:rsid w:val="00593EC1"/>
    <w:rsid w:val="00595A2B"/>
    <w:rsid w:val="0059769B"/>
    <w:rsid w:val="00597B92"/>
    <w:rsid w:val="005A2FA1"/>
    <w:rsid w:val="005A3C30"/>
    <w:rsid w:val="005A50E2"/>
    <w:rsid w:val="005A64B6"/>
    <w:rsid w:val="005A6826"/>
    <w:rsid w:val="005B2196"/>
    <w:rsid w:val="005B3BD0"/>
    <w:rsid w:val="005B6683"/>
    <w:rsid w:val="005B7AEB"/>
    <w:rsid w:val="005C29B0"/>
    <w:rsid w:val="005C4808"/>
    <w:rsid w:val="005C6969"/>
    <w:rsid w:val="005C7157"/>
    <w:rsid w:val="005D2529"/>
    <w:rsid w:val="005D714B"/>
    <w:rsid w:val="005E3D48"/>
    <w:rsid w:val="005E5F7E"/>
    <w:rsid w:val="005E6077"/>
    <w:rsid w:val="005F0044"/>
    <w:rsid w:val="005F2A1D"/>
    <w:rsid w:val="005F51D6"/>
    <w:rsid w:val="00600C87"/>
    <w:rsid w:val="006021DE"/>
    <w:rsid w:val="00602A21"/>
    <w:rsid w:val="00604377"/>
    <w:rsid w:val="006101A0"/>
    <w:rsid w:val="00612A90"/>
    <w:rsid w:val="006135BC"/>
    <w:rsid w:val="00613CB4"/>
    <w:rsid w:val="006221F3"/>
    <w:rsid w:val="006239CB"/>
    <w:rsid w:val="00624623"/>
    <w:rsid w:val="0062602A"/>
    <w:rsid w:val="00630759"/>
    <w:rsid w:val="0063606B"/>
    <w:rsid w:val="006410F4"/>
    <w:rsid w:val="0064224C"/>
    <w:rsid w:val="006462C6"/>
    <w:rsid w:val="00646810"/>
    <w:rsid w:val="00646D2E"/>
    <w:rsid w:val="006474AA"/>
    <w:rsid w:val="006527BE"/>
    <w:rsid w:val="00652C0B"/>
    <w:rsid w:val="00660812"/>
    <w:rsid w:val="00660AD3"/>
    <w:rsid w:val="00660D41"/>
    <w:rsid w:val="00661B12"/>
    <w:rsid w:val="006646AA"/>
    <w:rsid w:val="0066486B"/>
    <w:rsid w:val="006748B7"/>
    <w:rsid w:val="00680A1B"/>
    <w:rsid w:val="00682430"/>
    <w:rsid w:val="00684DEA"/>
    <w:rsid w:val="006868A5"/>
    <w:rsid w:val="00693A39"/>
    <w:rsid w:val="00695C40"/>
    <w:rsid w:val="00696E50"/>
    <w:rsid w:val="006975EC"/>
    <w:rsid w:val="006A3A99"/>
    <w:rsid w:val="006A4139"/>
    <w:rsid w:val="006A4287"/>
    <w:rsid w:val="006C149C"/>
    <w:rsid w:val="006C2D37"/>
    <w:rsid w:val="006C432F"/>
    <w:rsid w:val="006C50CA"/>
    <w:rsid w:val="006D70FE"/>
    <w:rsid w:val="006D7784"/>
    <w:rsid w:val="006E52CB"/>
    <w:rsid w:val="006E6264"/>
    <w:rsid w:val="006E75D4"/>
    <w:rsid w:val="006F4565"/>
    <w:rsid w:val="006F4FE4"/>
    <w:rsid w:val="006F5573"/>
    <w:rsid w:val="006F6420"/>
    <w:rsid w:val="006F77BD"/>
    <w:rsid w:val="00701647"/>
    <w:rsid w:val="00702A9B"/>
    <w:rsid w:val="00705EAE"/>
    <w:rsid w:val="00707F54"/>
    <w:rsid w:val="007127E2"/>
    <w:rsid w:val="00713D92"/>
    <w:rsid w:val="00714746"/>
    <w:rsid w:val="007157E9"/>
    <w:rsid w:val="00715F0E"/>
    <w:rsid w:val="007160F7"/>
    <w:rsid w:val="00720C22"/>
    <w:rsid w:val="0072219B"/>
    <w:rsid w:val="00722E00"/>
    <w:rsid w:val="00723A23"/>
    <w:rsid w:val="00730AD9"/>
    <w:rsid w:val="00731482"/>
    <w:rsid w:val="00733E80"/>
    <w:rsid w:val="00734072"/>
    <w:rsid w:val="0073565F"/>
    <w:rsid w:val="007373C6"/>
    <w:rsid w:val="00737CD2"/>
    <w:rsid w:val="007403CA"/>
    <w:rsid w:val="00740C95"/>
    <w:rsid w:val="00740D51"/>
    <w:rsid w:val="00740E7B"/>
    <w:rsid w:val="00741624"/>
    <w:rsid w:val="007425E0"/>
    <w:rsid w:val="00760411"/>
    <w:rsid w:val="007673BC"/>
    <w:rsid w:val="007734E2"/>
    <w:rsid w:val="00782182"/>
    <w:rsid w:val="00783731"/>
    <w:rsid w:val="00783913"/>
    <w:rsid w:val="0078410C"/>
    <w:rsid w:val="007867E4"/>
    <w:rsid w:val="0079554D"/>
    <w:rsid w:val="007969FA"/>
    <w:rsid w:val="00797A9E"/>
    <w:rsid w:val="007A079F"/>
    <w:rsid w:val="007A07DD"/>
    <w:rsid w:val="007A3921"/>
    <w:rsid w:val="007A4BBC"/>
    <w:rsid w:val="007A5292"/>
    <w:rsid w:val="007A6343"/>
    <w:rsid w:val="007B229B"/>
    <w:rsid w:val="007B4D01"/>
    <w:rsid w:val="007B79A1"/>
    <w:rsid w:val="007C1891"/>
    <w:rsid w:val="007C23A9"/>
    <w:rsid w:val="007C6B04"/>
    <w:rsid w:val="007C7475"/>
    <w:rsid w:val="007C7B8F"/>
    <w:rsid w:val="007D162B"/>
    <w:rsid w:val="007D2F78"/>
    <w:rsid w:val="007D3CFC"/>
    <w:rsid w:val="007D5131"/>
    <w:rsid w:val="007D5E0D"/>
    <w:rsid w:val="007E2A66"/>
    <w:rsid w:val="007E2FAB"/>
    <w:rsid w:val="007F1687"/>
    <w:rsid w:val="007F3761"/>
    <w:rsid w:val="0080201C"/>
    <w:rsid w:val="00802853"/>
    <w:rsid w:val="00802FB4"/>
    <w:rsid w:val="00803E42"/>
    <w:rsid w:val="00804A09"/>
    <w:rsid w:val="008057D9"/>
    <w:rsid w:val="008060DC"/>
    <w:rsid w:val="0080656E"/>
    <w:rsid w:val="0080687B"/>
    <w:rsid w:val="0080698E"/>
    <w:rsid w:val="00807388"/>
    <w:rsid w:val="00812BDB"/>
    <w:rsid w:val="00816C79"/>
    <w:rsid w:val="00822715"/>
    <w:rsid w:val="00822DB4"/>
    <w:rsid w:val="008254BA"/>
    <w:rsid w:val="00831F39"/>
    <w:rsid w:val="008322A2"/>
    <w:rsid w:val="008324B1"/>
    <w:rsid w:val="008326ED"/>
    <w:rsid w:val="00834203"/>
    <w:rsid w:val="008344A9"/>
    <w:rsid w:val="00835C5B"/>
    <w:rsid w:val="0083714B"/>
    <w:rsid w:val="008456D2"/>
    <w:rsid w:val="00847E41"/>
    <w:rsid w:val="0085088A"/>
    <w:rsid w:val="008522A4"/>
    <w:rsid w:val="00852E2B"/>
    <w:rsid w:val="00853C6C"/>
    <w:rsid w:val="00855823"/>
    <w:rsid w:val="008621AD"/>
    <w:rsid w:val="00866470"/>
    <w:rsid w:val="00866637"/>
    <w:rsid w:val="0087007B"/>
    <w:rsid w:val="008702A9"/>
    <w:rsid w:val="00870565"/>
    <w:rsid w:val="00872E44"/>
    <w:rsid w:val="00873D32"/>
    <w:rsid w:val="00873FD8"/>
    <w:rsid w:val="008803E0"/>
    <w:rsid w:val="00881B27"/>
    <w:rsid w:val="00893781"/>
    <w:rsid w:val="008A3DCD"/>
    <w:rsid w:val="008B120F"/>
    <w:rsid w:val="008B313D"/>
    <w:rsid w:val="008B3829"/>
    <w:rsid w:val="008B3CA7"/>
    <w:rsid w:val="008B543B"/>
    <w:rsid w:val="008B777E"/>
    <w:rsid w:val="008C35D4"/>
    <w:rsid w:val="008C520B"/>
    <w:rsid w:val="008C65E0"/>
    <w:rsid w:val="008D23CC"/>
    <w:rsid w:val="008D76D9"/>
    <w:rsid w:val="008E0981"/>
    <w:rsid w:val="008E23C0"/>
    <w:rsid w:val="008E4366"/>
    <w:rsid w:val="008E5B8A"/>
    <w:rsid w:val="008F25F1"/>
    <w:rsid w:val="008F2A9C"/>
    <w:rsid w:val="008F2B14"/>
    <w:rsid w:val="008F3211"/>
    <w:rsid w:val="008F35DB"/>
    <w:rsid w:val="008F4A29"/>
    <w:rsid w:val="008F4FC3"/>
    <w:rsid w:val="00903C4B"/>
    <w:rsid w:val="009041D1"/>
    <w:rsid w:val="009047AA"/>
    <w:rsid w:val="009047F7"/>
    <w:rsid w:val="0090724C"/>
    <w:rsid w:val="009100D0"/>
    <w:rsid w:val="00911523"/>
    <w:rsid w:val="00914B82"/>
    <w:rsid w:val="00916432"/>
    <w:rsid w:val="00920D34"/>
    <w:rsid w:val="009221E2"/>
    <w:rsid w:val="0092649F"/>
    <w:rsid w:val="00927D17"/>
    <w:rsid w:val="00927E85"/>
    <w:rsid w:val="0093288B"/>
    <w:rsid w:val="00937503"/>
    <w:rsid w:val="00941A8D"/>
    <w:rsid w:val="009469AF"/>
    <w:rsid w:val="00946C17"/>
    <w:rsid w:val="009474AA"/>
    <w:rsid w:val="00955E96"/>
    <w:rsid w:val="00956A33"/>
    <w:rsid w:val="00956B3D"/>
    <w:rsid w:val="00957F7A"/>
    <w:rsid w:val="009616F9"/>
    <w:rsid w:val="009668B3"/>
    <w:rsid w:val="009673DC"/>
    <w:rsid w:val="00971EB6"/>
    <w:rsid w:val="00975072"/>
    <w:rsid w:val="009839C2"/>
    <w:rsid w:val="00985345"/>
    <w:rsid w:val="00985AEA"/>
    <w:rsid w:val="0098620A"/>
    <w:rsid w:val="00986F25"/>
    <w:rsid w:val="00987015"/>
    <w:rsid w:val="00987AA1"/>
    <w:rsid w:val="00991F74"/>
    <w:rsid w:val="0099308F"/>
    <w:rsid w:val="009944D3"/>
    <w:rsid w:val="0099595F"/>
    <w:rsid w:val="009A0E68"/>
    <w:rsid w:val="009A1F14"/>
    <w:rsid w:val="009A2581"/>
    <w:rsid w:val="009A25F8"/>
    <w:rsid w:val="009A3116"/>
    <w:rsid w:val="009A34C0"/>
    <w:rsid w:val="009A4509"/>
    <w:rsid w:val="009A6113"/>
    <w:rsid w:val="009A6EC1"/>
    <w:rsid w:val="009A75B9"/>
    <w:rsid w:val="009A7ECC"/>
    <w:rsid w:val="009B09DF"/>
    <w:rsid w:val="009B1544"/>
    <w:rsid w:val="009B3A35"/>
    <w:rsid w:val="009B4D7B"/>
    <w:rsid w:val="009B4F58"/>
    <w:rsid w:val="009B53EF"/>
    <w:rsid w:val="009B591D"/>
    <w:rsid w:val="009B6ED9"/>
    <w:rsid w:val="009C1BF0"/>
    <w:rsid w:val="009C2895"/>
    <w:rsid w:val="009C4FBF"/>
    <w:rsid w:val="009C7B8E"/>
    <w:rsid w:val="009D226E"/>
    <w:rsid w:val="009D392C"/>
    <w:rsid w:val="009D4537"/>
    <w:rsid w:val="009D5262"/>
    <w:rsid w:val="009D58F4"/>
    <w:rsid w:val="009D7D17"/>
    <w:rsid w:val="009E4F3B"/>
    <w:rsid w:val="009E683A"/>
    <w:rsid w:val="009F22DA"/>
    <w:rsid w:val="009F442D"/>
    <w:rsid w:val="009F4E85"/>
    <w:rsid w:val="009F6643"/>
    <w:rsid w:val="009F7088"/>
    <w:rsid w:val="009F7576"/>
    <w:rsid w:val="00A01E6B"/>
    <w:rsid w:val="00A04A8E"/>
    <w:rsid w:val="00A05DCD"/>
    <w:rsid w:val="00A06C46"/>
    <w:rsid w:val="00A12D69"/>
    <w:rsid w:val="00A12EE3"/>
    <w:rsid w:val="00A136C2"/>
    <w:rsid w:val="00A13E00"/>
    <w:rsid w:val="00A1490E"/>
    <w:rsid w:val="00A22E2B"/>
    <w:rsid w:val="00A31929"/>
    <w:rsid w:val="00A3546A"/>
    <w:rsid w:val="00A3620D"/>
    <w:rsid w:val="00A36AE1"/>
    <w:rsid w:val="00A40376"/>
    <w:rsid w:val="00A41715"/>
    <w:rsid w:val="00A41A5D"/>
    <w:rsid w:val="00A41C36"/>
    <w:rsid w:val="00A44BE1"/>
    <w:rsid w:val="00A44DC1"/>
    <w:rsid w:val="00A45904"/>
    <w:rsid w:val="00A46A98"/>
    <w:rsid w:val="00A50B84"/>
    <w:rsid w:val="00A51589"/>
    <w:rsid w:val="00A518AD"/>
    <w:rsid w:val="00A57E98"/>
    <w:rsid w:val="00A61EFD"/>
    <w:rsid w:val="00A6354D"/>
    <w:rsid w:val="00A66F21"/>
    <w:rsid w:val="00A908EE"/>
    <w:rsid w:val="00A93540"/>
    <w:rsid w:val="00A9496C"/>
    <w:rsid w:val="00A96AF1"/>
    <w:rsid w:val="00A96FB2"/>
    <w:rsid w:val="00AA2E68"/>
    <w:rsid w:val="00AA3801"/>
    <w:rsid w:val="00AA4F51"/>
    <w:rsid w:val="00AA5B09"/>
    <w:rsid w:val="00AA5D02"/>
    <w:rsid w:val="00AB31A3"/>
    <w:rsid w:val="00AB46FB"/>
    <w:rsid w:val="00AB76E5"/>
    <w:rsid w:val="00AB7E4F"/>
    <w:rsid w:val="00AC344C"/>
    <w:rsid w:val="00AC3C63"/>
    <w:rsid w:val="00AC53AD"/>
    <w:rsid w:val="00AC7B4E"/>
    <w:rsid w:val="00AD1DCC"/>
    <w:rsid w:val="00AD1E9F"/>
    <w:rsid w:val="00AD2497"/>
    <w:rsid w:val="00AD353A"/>
    <w:rsid w:val="00AD44BD"/>
    <w:rsid w:val="00AD4C74"/>
    <w:rsid w:val="00AD6022"/>
    <w:rsid w:val="00AD6B39"/>
    <w:rsid w:val="00AD74D7"/>
    <w:rsid w:val="00AE019A"/>
    <w:rsid w:val="00AE1272"/>
    <w:rsid w:val="00AE17FB"/>
    <w:rsid w:val="00AE2E61"/>
    <w:rsid w:val="00AE5124"/>
    <w:rsid w:val="00AE7ABB"/>
    <w:rsid w:val="00AF0705"/>
    <w:rsid w:val="00AF4CDF"/>
    <w:rsid w:val="00AF6B14"/>
    <w:rsid w:val="00B009B7"/>
    <w:rsid w:val="00B02846"/>
    <w:rsid w:val="00B10745"/>
    <w:rsid w:val="00B11B9E"/>
    <w:rsid w:val="00B17FE8"/>
    <w:rsid w:val="00B24D0E"/>
    <w:rsid w:val="00B2572E"/>
    <w:rsid w:val="00B25A54"/>
    <w:rsid w:val="00B276D8"/>
    <w:rsid w:val="00B41E71"/>
    <w:rsid w:val="00B4331F"/>
    <w:rsid w:val="00B4430F"/>
    <w:rsid w:val="00B4512F"/>
    <w:rsid w:val="00B461E0"/>
    <w:rsid w:val="00B47FD6"/>
    <w:rsid w:val="00B51F5A"/>
    <w:rsid w:val="00B52D79"/>
    <w:rsid w:val="00B53EB8"/>
    <w:rsid w:val="00B545BF"/>
    <w:rsid w:val="00B55C4C"/>
    <w:rsid w:val="00B56B86"/>
    <w:rsid w:val="00B56E89"/>
    <w:rsid w:val="00B5758E"/>
    <w:rsid w:val="00B62ABE"/>
    <w:rsid w:val="00B65836"/>
    <w:rsid w:val="00B672A4"/>
    <w:rsid w:val="00B71DEA"/>
    <w:rsid w:val="00B75725"/>
    <w:rsid w:val="00B76754"/>
    <w:rsid w:val="00B77644"/>
    <w:rsid w:val="00B804D8"/>
    <w:rsid w:val="00B81363"/>
    <w:rsid w:val="00B86585"/>
    <w:rsid w:val="00B94F67"/>
    <w:rsid w:val="00B96CFB"/>
    <w:rsid w:val="00B97242"/>
    <w:rsid w:val="00BA7822"/>
    <w:rsid w:val="00BB1EF0"/>
    <w:rsid w:val="00BB344D"/>
    <w:rsid w:val="00BB46B3"/>
    <w:rsid w:val="00BB47FE"/>
    <w:rsid w:val="00BB6F35"/>
    <w:rsid w:val="00BB7083"/>
    <w:rsid w:val="00BC01CF"/>
    <w:rsid w:val="00BC2FB9"/>
    <w:rsid w:val="00BC3064"/>
    <w:rsid w:val="00BC6F3F"/>
    <w:rsid w:val="00BD14D1"/>
    <w:rsid w:val="00BD2CDE"/>
    <w:rsid w:val="00BD3216"/>
    <w:rsid w:val="00BD65D6"/>
    <w:rsid w:val="00BE0D55"/>
    <w:rsid w:val="00BE317A"/>
    <w:rsid w:val="00BE7625"/>
    <w:rsid w:val="00BF2E37"/>
    <w:rsid w:val="00BF35B5"/>
    <w:rsid w:val="00BF52D5"/>
    <w:rsid w:val="00BF70BD"/>
    <w:rsid w:val="00C02AAA"/>
    <w:rsid w:val="00C03A6B"/>
    <w:rsid w:val="00C03DF2"/>
    <w:rsid w:val="00C045E6"/>
    <w:rsid w:val="00C06D8F"/>
    <w:rsid w:val="00C117D6"/>
    <w:rsid w:val="00C147F2"/>
    <w:rsid w:val="00C14D9C"/>
    <w:rsid w:val="00C14DBB"/>
    <w:rsid w:val="00C15065"/>
    <w:rsid w:val="00C15D1D"/>
    <w:rsid w:val="00C16A0C"/>
    <w:rsid w:val="00C17A5C"/>
    <w:rsid w:val="00C2056D"/>
    <w:rsid w:val="00C242DB"/>
    <w:rsid w:val="00C272DE"/>
    <w:rsid w:val="00C34E0C"/>
    <w:rsid w:val="00C37287"/>
    <w:rsid w:val="00C42424"/>
    <w:rsid w:val="00C42673"/>
    <w:rsid w:val="00C45055"/>
    <w:rsid w:val="00C46137"/>
    <w:rsid w:val="00C46F94"/>
    <w:rsid w:val="00C50134"/>
    <w:rsid w:val="00C50A80"/>
    <w:rsid w:val="00C51031"/>
    <w:rsid w:val="00C53D5B"/>
    <w:rsid w:val="00C5499E"/>
    <w:rsid w:val="00C65AD3"/>
    <w:rsid w:val="00C720BB"/>
    <w:rsid w:val="00C72D71"/>
    <w:rsid w:val="00C77378"/>
    <w:rsid w:val="00C86ACF"/>
    <w:rsid w:val="00C923F8"/>
    <w:rsid w:val="00C9339B"/>
    <w:rsid w:val="00C93A60"/>
    <w:rsid w:val="00C96534"/>
    <w:rsid w:val="00CA20AF"/>
    <w:rsid w:val="00CA20E0"/>
    <w:rsid w:val="00CA3682"/>
    <w:rsid w:val="00CA7401"/>
    <w:rsid w:val="00CA76B1"/>
    <w:rsid w:val="00CA7B57"/>
    <w:rsid w:val="00CA7CC7"/>
    <w:rsid w:val="00CB0874"/>
    <w:rsid w:val="00CB3065"/>
    <w:rsid w:val="00CB3A1B"/>
    <w:rsid w:val="00CB3E2B"/>
    <w:rsid w:val="00CB6B26"/>
    <w:rsid w:val="00CC1FB0"/>
    <w:rsid w:val="00CC4806"/>
    <w:rsid w:val="00CC6E0C"/>
    <w:rsid w:val="00CC7740"/>
    <w:rsid w:val="00CC7DC3"/>
    <w:rsid w:val="00CD0023"/>
    <w:rsid w:val="00CD2162"/>
    <w:rsid w:val="00CE2E8A"/>
    <w:rsid w:val="00CE4DC9"/>
    <w:rsid w:val="00CE7910"/>
    <w:rsid w:val="00CF1094"/>
    <w:rsid w:val="00CF6B67"/>
    <w:rsid w:val="00CF7DD9"/>
    <w:rsid w:val="00D02CAF"/>
    <w:rsid w:val="00D10DE0"/>
    <w:rsid w:val="00D16E49"/>
    <w:rsid w:val="00D209CB"/>
    <w:rsid w:val="00D20D2F"/>
    <w:rsid w:val="00D243AF"/>
    <w:rsid w:val="00D36386"/>
    <w:rsid w:val="00D36810"/>
    <w:rsid w:val="00D37B2E"/>
    <w:rsid w:val="00D4057D"/>
    <w:rsid w:val="00D429BC"/>
    <w:rsid w:val="00D444C6"/>
    <w:rsid w:val="00D45BC7"/>
    <w:rsid w:val="00D51B1D"/>
    <w:rsid w:val="00D520CD"/>
    <w:rsid w:val="00D52624"/>
    <w:rsid w:val="00D55A64"/>
    <w:rsid w:val="00D55BD5"/>
    <w:rsid w:val="00D56C8F"/>
    <w:rsid w:val="00D576A5"/>
    <w:rsid w:val="00D60C9E"/>
    <w:rsid w:val="00D62BB6"/>
    <w:rsid w:val="00D667BC"/>
    <w:rsid w:val="00D70116"/>
    <w:rsid w:val="00D72727"/>
    <w:rsid w:val="00D73880"/>
    <w:rsid w:val="00D74BEB"/>
    <w:rsid w:val="00D75D3C"/>
    <w:rsid w:val="00D815CD"/>
    <w:rsid w:val="00D851BA"/>
    <w:rsid w:val="00D939E8"/>
    <w:rsid w:val="00DA0E6C"/>
    <w:rsid w:val="00DA35E3"/>
    <w:rsid w:val="00DA4A8E"/>
    <w:rsid w:val="00DA5C71"/>
    <w:rsid w:val="00DB0897"/>
    <w:rsid w:val="00DB6113"/>
    <w:rsid w:val="00DC1C22"/>
    <w:rsid w:val="00DC28EA"/>
    <w:rsid w:val="00DC41AC"/>
    <w:rsid w:val="00DC5074"/>
    <w:rsid w:val="00DD060F"/>
    <w:rsid w:val="00DD4C7F"/>
    <w:rsid w:val="00DD5A19"/>
    <w:rsid w:val="00DD642F"/>
    <w:rsid w:val="00DE2587"/>
    <w:rsid w:val="00DE2B38"/>
    <w:rsid w:val="00DE5F77"/>
    <w:rsid w:val="00DE7FE4"/>
    <w:rsid w:val="00DF15D6"/>
    <w:rsid w:val="00DF336D"/>
    <w:rsid w:val="00DF5513"/>
    <w:rsid w:val="00DF5F1D"/>
    <w:rsid w:val="00DF7429"/>
    <w:rsid w:val="00E03F07"/>
    <w:rsid w:val="00E04CF1"/>
    <w:rsid w:val="00E07081"/>
    <w:rsid w:val="00E14E23"/>
    <w:rsid w:val="00E232B9"/>
    <w:rsid w:val="00E23A67"/>
    <w:rsid w:val="00E277C3"/>
    <w:rsid w:val="00E3061B"/>
    <w:rsid w:val="00E3083B"/>
    <w:rsid w:val="00E30A37"/>
    <w:rsid w:val="00E35246"/>
    <w:rsid w:val="00E36812"/>
    <w:rsid w:val="00E37CFC"/>
    <w:rsid w:val="00E4685D"/>
    <w:rsid w:val="00E52C0E"/>
    <w:rsid w:val="00E541F6"/>
    <w:rsid w:val="00E5574F"/>
    <w:rsid w:val="00E60C9A"/>
    <w:rsid w:val="00E6136B"/>
    <w:rsid w:val="00E63105"/>
    <w:rsid w:val="00E63803"/>
    <w:rsid w:val="00E65FD5"/>
    <w:rsid w:val="00E671D3"/>
    <w:rsid w:val="00E67F51"/>
    <w:rsid w:val="00E71655"/>
    <w:rsid w:val="00E7310A"/>
    <w:rsid w:val="00E73C53"/>
    <w:rsid w:val="00E74978"/>
    <w:rsid w:val="00E76ECD"/>
    <w:rsid w:val="00E771F8"/>
    <w:rsid w:val="00E809A8"/>
    <w:rsid w:val="00E815D9"/>
    <w:rsid w:val="00E86449"/>
    <w:rsid w:val="00E90671"/>
    <w:rsid w:val="00E92150"/>
    <w:rsid w:val="00E931CA"/>
    <w:rsid w:val="00E953B0"/>
    <w:rsid w:val="00EA23D9"/>
    <w:rsid w:val="00EA7AD5"/>
    <w:rsid w:val="00EB013A"/>
    <w:rsid w:val="00EB575C"/>
    <w:rsid w:val="00EC01A1"/>
    <w:rsid w:val="00EC2C93"/>
    <w:rsid w:val="00EC39C7"/>
    <w:rsid w:val="00ED0115"/>
    <w:rsid w:val="00ED1819"/>
    <w:rsid w:val="00ED1B53"/>
    <w:rsid w:val="00ED1B7A"/>
    <w:rsid w:val="00EE07D5"/>
    <w:rsid w:val="00EE6943"/>
    <w:rsid w:val="00EE73EB"/>
    <w:rsid w:val="00EE7B61"/>
    <w:rsid w:val="00EF5C22"/>
    <w:rsid w:val="00EF7C8D"/>
    <w:rsid w:val="00F005DA"/>
    <w:rsid w:val="00F022C2"/>
    <w:rsid w:val="00F02596"/>
    <w:rsid w:val="00F030A8"/>
    <w:rsid w:val="00F05F19"/>
    <w:rsid w:val="00F069F0"/>
    <w:rsid w:val="00F07EAA"/>
    <w:rsid w:val="00F13CBC"/>
    <w:rsid w:val="00F162E8"/>
    <w:rsid w:val="00F16325"/>
    <w:rsid w:val="00F16E34"/>
    <w:rsid w:val="00F16F9C"/>
    <w:rsid w:val="00F2344F"/>
    <w:rsid w:val="00F23989"/>
    <w:rsid w:val="00F2654A"/>
    <w:rsid w:val="00F27354"/>
    <w:rsid w:val="00F4200E"/>
    <w:rsid w:val="00F44E43"/>
    <w:rsid w:val="00F516C7"/>
    <w:rsid w:val="00F51CC3"/>
    <w:rsid w:val="00F54557"/>
    <w:rsid w:val="00F56AE8"/>
    <w:rsid w:val="00F62536"/>
    <w:rsid w:val="00F63719"/>
    <w:rsid w:val="00F6491A"/>
    <w:rsid w:val="00F65873"/>
    <w:rsid w:val="00F65DA3"/>
    <w:rsid w:val="00F66447"/>
    <w:rsid w:val="00F67AE9"/>
    <w:rsid w:val="00F70468"/>
    <w:rsid w:val="00F7321B"/>
    <w:rsid w:val="00F76E0F"/>
    <w:rsid w:val="00F7738A"/>
    <w:rsid w:val="00F83821"/>
    <w:rsid w:val="00F84774"/>
    <w:rsid w:val="00F84A40"/>
    <w:rsid w:val="00F85465"/>
    <w:rsid w:val="00F911E2"/>
    <w:rsid w:val="00F938F6"/>
    <w:rsid w:val="00F941C4"/>
    <w:rsid w:val="00F958EC"/>
    <w:rsid w:val="00F9739C"/>
    <w:rsid w:val="00FA024E"/>
    <w:rsid w:val="00FA028C"/>
    <w:rsid w:val="00FA18F4"/>
    <w:rsid w:val="00FA2E94"/>
    <w:rsid w:val="00FA481C"/>
    <w:rsid w:val="00FA4FB7"/>
    <w:rsid w:val="00FA66EE"/>
    <w:rsid w:val="00FA79F1"/>
    <w:rsid w:val="00FB0DE5"/>
    <w:rsid w:val="00FB5388"/>
    <w:rsid w:val="00FB5CDE"/>
    <w:rsid w:val="00FC2488"/>
    <w:rsid w:val="00FC2C7D"/>
    <w:rsid w:val="00FC6ABC"/>
    <w:rsid w:val="00FE60E6"/>
    <w:rsid w:val="00FF0507"/>
    <w:rsid w:val="00FF46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6B919A"/>
  <w15:docId w15:val="{30185696-7E1D-420D-B5CB-B1E15F6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9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E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DC28EA"/>
  </w:style>
  <w:style w:type="paragraph" w:styleId="Footer">
    <w:name w:val="footer"/>
    <w:basedOn w:val="Normal"/>
    <w:link w:val="FooterChar"/>
    <w:uiPriority w:val="99"/>
    <w:unhideWhenUsed/>
    <w:rsid w:val="00DC28E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DC28EA"/>
  </w:style>
  <w:style w:type="table" w:styleId="TableGrid">
    <w:name w:val="Table Grid"/>
    <w:basedOn w:val="TableNormal"/>
    <w:uiPriority w:val="59"/>
    <w:rsid w:val="00DC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0131"/>
    <w:pPr>
      <w:ind w:left="720"/>
      <w:contextualSpacing/>
    </w:pPr>
    <w:rPr>
      <w:rFonts w:eastAsia="Times New Roman"/>
    </w:rPr>
  </w:style>
  <w:style w:type="character" w:customStyle="1" w:styleId="ListParagraphChar">
    <w:name w:val="List Paragraph Char"/>
    <w:basedOn w:val="DefaultParagraphFont"/>
    <w:link w:val="ListParagraph"/>
    <w:uiPriority w:val="34"/>
    <w:rsid w:val="00233CCD"/>
  </w:style>
  <w:style w:type="paragraph" w:customStyle="1" w:styleId="Indent1">
    <w:name w:val="Indent 1"/>
    <w:basedOn w:val="Normal"/>
    <w:link w:val="Indent1Char"/>
    <w:rsid w:val="00DC1C22"/>
    <w:pPr>
      <w:spacing w:after="260" w:line="260" w:lineRule="atLeast"/>
      <w:ind w:left="431"/>
    </w:pPr>
    <w:rPr>
      <w:rFonts w:eastAsia="SimSun"/>
    </w:rPr>
  </w:style>
  <w:style w:type="character" w:customStyle="1" w:styleId="Indent1Char">
    <w:name w:val="Indent 1 Char"/>
    <w:link w:val="Indent1"/>
    <w:rsid w:val="00DC1C22"/>
    <w:rPr>
      <w:rFonts w:ascii="Times New Roman" w:eastAsia="SimSun" w:hAnsi="Times New Roman" w:cs="Times New Roman"/>
    </w:rPr>
  </w:style>
  <w:style w:type="paragraph" w:styleId="BodyTextIndent">
    <w:name w:val="Body Text Indent"/>
    <w:basedOn w:val="Normal"/>
    <w:link w:val="BodyTextIndentChar"/>
    <w:rsid w:val="006F4FE4"/>
    <w:pPr>
      <w:tabs>
        <w:tab w:val="left" w:pos="630"/>
        <w:tab w:val="left" w:pos="720"/>
        <w:tab w:val="left" w:pos="990"/>
        <w:tab w:val="left" w:pos="7459"/>
        <w:tab w:val="decimal" w:pos="8467"/>
        <w:tab w:val="left" w:pos="8726"/>
        <w:tab w:val="decimal" w:pos="9720"/>
      </w:tabs>
      <w:ind w:left="630" w:hanging="630"/>
      <w:jc w:val="both"/>
    </w:pPr>
    <w:rPr>
      <w:rFonts w:ascii="TmsRmn" w:eastAsia="Times New Roman" w:hAnsi="TmsRmn"/>
      <w:sz w:val="20"/>
      <w:szCs w:val="20"/>
      <w:lang w:val="en-GB"/>
    </w:rPr>
  </w:style>
  <w:style w:type="character" w:customStyle="1" w:styleId="BodyTextIndentChar">
    <w:name w:val="Body Text Indent Char"/>
    <w:basedOn w:val="DefaultParagraphFont"/>
    <w:link w:val="BodyTextIndent"/>
    <w:rsid w:val="006F4FE4"/>
    <w:rPr>
      <w:rFonts w:ascii="TmsRmn" w:eastAsia="Times New Roman" w:hAnsi="TmsRmn" w:cs="Times New Roman"/>
      <w:sz w:val="20"/>
      <w:szCs w:val="20"/>
      <w:lang w:val="en-GB"/>
    </w:rPr>
  </w:style>
  <w:style w:type="paragraph" w:styleId="BodyTextIndent2">
    <w:name w:val="Body Text Indent 2"/>
    <w:basedOn w:val="Normal"/>
    <w:link w:val="BodyTextIndent2Char"/>
    <w:uiPriority w:val="99"/>
    <w:semiHidden/>
    <w:unhideWhenUsed/>
    <w:rsid w:val="006F4FE4"/>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6F4FE4"/>
  </w:style>
  <w:style w:type="paragraph" w:styleId="NoSpacing">
    <w:name w:val="No Spacing"/>
    <w:uiPriority w:val="1"/>
    <w:qFormat/>
    <w:rsid w:val="004C065A"/>
    <w:pPr>
      <w:spacing w:after="0" w:line="240" w:lineRule="auto"/>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5E6077"/>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E6077"/>
    <w:rPr>
      <w:rFonts w:ascii="Segoe UI" w:hAnsi="Segoe UI" w:cs="Segoe UI"/>
      <w:sz w:val="18"/>
      <w:szCs w:val="18"/>
    </w:rPr>
  </w:style>
  <w:style w:type="character" w:styleId="CommentReference">
    <w:name w:val="annotation reference"/>
    <w:basedOn w:val="DefaultParagraphFont"/>
    <w:uiPriority w:val="99"/>
    <w:semiHidden/>
    <w:unhideWhenUsed/>
    <w:rsid w:val="0092649F"/>
    <w:rPr>
      <w:sz w:val="16"/>
      <w:szCs w:val="16"/>
    </w:rPr>
  </w:style>
  <w:style w:type="paragraph" w:styleId="CommentText">
    <w:name w:val="annotation text"/>
    <w:basedOn w:val="Normal"/>
    <w:link w:val="CommentTextChar"/>
    <w:uiPriority w:val="99"/>
    <w:semiHidden/>
    <w:unhideWhenUsed/>
    <w:rsid w:val="0092649F"/>
    <w:rPr>
      <w:rFonts w:eastAsia="Times New Roman"/>
      <w:sz w:val="20"/>
      <w:szCs w:val="20"/>
    </w:rPr>
  </w:style>
  <w:style w:type="character" w:customStyle="1" w:styleId="CommentTextChar">
    <w:name w:val="Comment Text Char"/>
    <w:basedOn w:val="DefaultParagraphFont"/>
    <w:link w:val="CommentText"/>
    <w:uiPriority w:val="99"/>
    <w:semiHidden/>
    <w:rsid w:val="0092649F"/>
    <w:rPr>
      <w:sz w:val="20"/>
      <w:szCs w:val="20"/>
    </w:rPr>
  </w:style>
  <w:style w:type="paragraph" w:styleId="CommentSubject">
    <w:name w:val="annotation subject"/>
    <w:basedOn w:val="CommentText"/>
    <w:next w:val="CommentText"/>
    <w:link w:val="CommentSubjectChar"/>
    <w:uiPriority w:val="99"/>
    <w:semiHidden/>
    <w:unhideWhenUsed/>
    <w:rsid w:val="0092649F"/>
    <w:rPr>
      <w:b/>
      <w:bCs/>
    </w:rPr>
  </w:style>
  <w:style w:type="character" w:customStyle="1" w:styleId="CommentSubjectChar">
    <w:name w:val="Comment Subject Char"/>
    <w:basedOn w:val="CommentTextChar"/>
    <w:link w:val="CommentSubject"/>
    <w:uiPriority w:val="99"/>
    <w:semiHidden/>
    <w:rsid w:val="0092649F"/>
    <w:rPr>
      <w:b/>
      <w:bCs/>
      <w:sz w:val="20"/>
      <w:szCs w:val="20"/>
    </w:rPr>
  </w:style>
  <w:style w:type="paragraph" w:styleId="Revision">
    <w:name w:val="Revision"/>
    <w:hidden/>
    <w:uiPriority w:val="99"/>
    <w:semiHidden/>
    <w:rsid w:val="002D2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588">
      <w:bodyDiv w:val="1"/>
      <w:marLeft w:val="0"/>
      <w:marRight w:val="0"/>
      <w:marTop w:val="0"/>
      <w:marBottom w:val="0"/>
      <w:divBdr>
        <w:top w:val="none" w:sz="0" w:space="0" w:color="auto"/>
        <w:left w:val="none" w:sz="0" w:space="0" w:color="auto"/>
        <w:bottom w:val="none" w:sz="0" w:space="0" w:color="auto"/>
        <w:right w:val="none" w:sz="0" w:space="0" w:color="auto"/>
      </w:divBdr>
    </w:div>
    <w:div w:id="42024667">
      <w:bodyDiv w:val="1"/>
      <w:marLeft w:val="0"/>
      <w:marRight w:val="0"/>
      <w:marTop w:val="0"/>
      <w:marBottom w:val="0"/>
      <w:divBdr>
        <w:top w:val="none" w:sz="0" w:space="0" w:color="auto"/>
        <w:left w:val="none" w:sz="0" w:space="0" w:color="auto"/>
        <w:bottom w:val="none" w:sz="0" w:space="0" w:color="auto"/>
        <w:right w:val="none" w:sz="0" w:space="0" w:color="auto"/>
      </w:divBdr>
    </w:div>
    <w:div w:id="47189386">
      <w:bodyDiv w:val="1"/>
      <w:marLeft w:val="0"/>
      <w:marRight w:val="0"/>
      <w:marTop w:val="0"/>
      <w:marBottom w:val="0"/>
      <w:divBdr>
        <w:top w:val="none" w:sz="0" w:space="0" w:color="auto"/>
        <w:left w:val="none" w:sz="0" w:space="0" w:color="auto"/>
        <w:bottom w:val="none" w:sz="0" w:space="0" w:color="auto"/>
        <w:right w:val="none" w:sz="0" w:space="0" w:color="auto"/>
      </w:divBdr>
    </w:div>
    <w:div w:id="114443547">
      <w:bodyDiv w:val="1"/>
      <w:marLeft w:val="0"/>
      <w:marRight w:val="0"/>
      <w:marTop w:val="0"/>
      <w:marBottom w:val="0"/>
      <w:divBdr>
        <w:top w:val="none" w:sz="0" w:space="0" w:color="auto"/>
        <w:left w:val="none" w:sz="0" w:space="0" w:color="auto"/>
        <w:bottom w:val="none" w:sz="0" w:space="0" w:color="auto"/>
        <w:right w:val="none" w:sz="0" w:space="0" w:color="auto"/>
      </w:divBdr>
    </w:div>
    <w:div w:id="136144033">
      <w:bodyDiv w:val="1"/>
      <w:marLeft w:val="0"/>
      <w:marRight w:val="0"/>
      <w:marTop w:val="0"/>
      <w:marBottom w:val="0"/>
      <w:divBdr>
        <w:top w:val="none" w:sz="0" w:space="0" w:color="auto"/>
        <w:left w:val="none" w:sz="0" w:space="0" w:color="auto"/>
        <w:bottom w:val="none" w:sz="0" w:space="0" w:color="auto"/>
        <w:right w:val="none" w:sz="0" w:space="0" w:color="auto"/>
      </w:divBdr>
    </w:div>
    <w:div w:id="382952334">
      <w:bodyDiv w:val="1"/>
      <w:marLeft w:val="0"/>
      <w:marRight w:val="0"/>
      <w:marTop w:val="0"/>
      <w:marBottom w:val="0"/>
      <w:divBdr>
        <w:top w:val="none" w:sz="0" w:space="0" w:color="auto"/>
        <w:left w:val="none" w:sz="0" w:space="0" w:color="auto"/>
        <w:bottom w:val="none" w:sz="0" w:space="0" w:color="auto"/>
        <w:right w:val="none" w:sz="0" w:space="0" w:color="auto"/>
      </w:divBdr>
    </w:div>
    <w:div w:id="423845381">
      <w:bodyDiv w:val="1"/>
      <w:marLeft w:val="0"/>
      <w:marRight w:val="0"/>
      <w:marTop w:val="0"/>
      <w:marBottom w:val="0"/>
      <w:divBdr>
        <w:top w:val="none" w:sz="0" w:space="0" w:color="auto"/>
        <w:left w:val="none" w:sz="0" w:space="0" w:color="auto"/>
        <w:bottom w:val="none" w:sz="0" w:space="0" w:color="auto"/>
        <w:right w:val="none" w:sz="0" w:space="0" w:color="auto"/>
      </w:divBdr>
    </w:div>
    <w:div w:id="430977994">
      <w:bodyDiv w:val="1"/>
      <w:marLeft w:val="0"/>
      <w:marRight w:val="0"/>
      <w:marTop w:val="0"/>
      <w:marBottom w:val="0"/>
      <w:divBdr>
        <w:top w:val="none" w:sz="0" w:space="0" w:color="auto"/>
        <w:left w:val="none" w:sz="0" w:space="0" w:color="auto"/>
        <w:bottom w:val="none" w:sz="0" w:space="0" w:color="auto"/>
        <w:right w:val="none" w:sz="0" w:space="0" w:color="auto"/>
      </w:divBdr>
    </w:div>
    <w:div w:id="438837955">
      <w:bodyDiv w:val="1"/>
      <w:marLeft w:val="0"/>
      <w:marRight w:val="0"/>
      <w:marTop w:val="0"/>
      <w:marBottom w:val="0"/>
      <w:divBdr>
        <w:top w:val="none" w:sz="0" w:space="0" w:color="auto"/>
        <w:left w:val="none" w:sz="0" w:space="0" w:color="auto"/>
        <w:bottom w:val="none" w:sz="0" w:space="0" w:color="auto"/>
        <w:right w:val="none" w:sz="0" w:space="0" w:color="auto"/>
      </w:divBdr>
    </w:div>
    <w:div w:id="516388772">
      <w:bodyDiv w:val="1"/>
      <w:marLeft w:val="0"/>
      <w:marRight w:val="0"/>
      <w:marTop w:val="0"/>
      <w:marBottom w:val="0"/>
      <w:divBdr>
        <w:top w:val="none" w:sz="0" w:space="0" w:color="auto"/>
        <w:left w:val="none" w:sz="0" w:space="0" w:color="auto"/>
        <w:bottom w:val="none" w:sz="0" w:space="0" w:color="auto"/>
        <w:right w:val="none" w:sz="0" w:space="0" w:color="auto"/>
      </w:divBdr>
    </w:div>
    <w:div w:id="527521798">
      <w:bodyDiv w:val="1"/>
      <w:marLeft w:val="0"/>
      <w:marRight w:val="0"/>
      <w:marTop w:val="0"/>
      <w:marBottom w:val="0"/>
      <w:divBdr>
        <w:top w:val="none" w:sz="0" w:space="0" w:color="auto"/>
        <w:left w:val="none" w:sz="0" w:space="0" w:color="auto"/>
        <w:bottom w:val="none" w:sz="0" w:space="0" w:color="auto"/>
        <w:right w:val="none" w:sz="0" w:space="0" w:color="auto"/>
      </w:divBdr>
    </w:div>
    <w:div w:id="575673379">
      <w:bodyDiv w:val="1"/>
      <w:marLeft w:val="0"/>
      <w:marRight w:val="0"/>
      <w:marTop w:val="0"/>
      <w:marBottom w:val="0"/>
      <w:divBdr>
        <w:top w:val="none" w:sz="0" w:space="0" w:color="auto"/>
        <w:left w:val="none" w:sz="0" w:space="0" w:color="auto"/>
        <w:bottom w:val="none" w:sz="0" w:space="0" w:color="auto"/>
        <w:right w:val="none" w:sz="0" w:space="0" w:color="auto"/>
      </w:divBdr>
    </w:div>
    <w:div w:id="593443111">
      <w:bodyDiv w:val="1"/>
      <w:marLeft w:val="0"/>
      <w:marRight w:val="0"/>
      <w:marTop w:val="0"/>
      <w:marBottom w:val="0"/>
      <w:divBdr>
        <w:top w:val="none" w:sz="0" w:space="0" w:color="auto"/>
        <w:left w:val="none" w:sz="0" w:space="0" w:color="auto"/>
        <w:bottom w:val="none" w:sz="0" w:space="0" w:color="auto"/>
        <w:right w:val="none" w:sz="0" w:space="0" w:color="auto"/>
      </w:divBdr>
    </w:div>
    <w:div w:id="598484582">
      <w:bodyDiv w:val="1"/>
      <w:marLeft w:val="0"/>
      <w:marRight w:val="0"/>
      <w:marTop w:val="0"/>
      <w:marBottom w:val="0"/>
      <w:divBdr>
        <w:top w:val="none" w:sz="0" w:space="0" w:color="auto"/>
        <w:left w:val="none" w:sz="0" w:space="0" w:color="auto"/>
        <w:bottom w:val="none" w:sz="0" w:space="0" w:color="auto"/>
        <w:right w:val="none" w:sz="0" w:space="0" w:color="auto"/>
      </w:divBdr>
    </w:div>
    <w:div w:id="679509193">
      <w:bodyDiv w:val="1"/>
      <w:marLeft w:val="0"/>
      <w:marRight w:val="0"/>
      <w:marTop w:val="0"/>
      <w:marBottom w:val="0"/>
      <w:divBdr>
        <w:top w:val="none" w:sz="0" w:space="0" w:color="auto"/>
        <w:left w:val="none" w:sz="0" w:space="0" w:color="auto"/>
        <w:bottom w:val="none" w:sz="0" w:space="0" w:color="auto"/>
        <w:right w:val="none" w:sz="0" w:space="0" w:color="auto"/>
      </w:divBdr>
    </w:div>
    <w:div w:id="702824682">
      <w:bodyDiv w:val="1"/>
      <w:marLeft w:val="0"/>
      <w:marRight w:val="0"/>
      <w:marTop w:val="0"/>
      <w:marBottom w:val="0"/>
      <w:divBdr>
        <w:top w:val="none" w:sz="0" w:space="0" w:color="auto"/>
        <w:left w:val="none" w:sz="0" w:space="0" w:color="auto"/>
        <w:bottom w:val="none" w:sz="0" w:space="0" w:color="auto"/>
        <w:right w:val="none" w:sz="0" w:space="0" w:color="auto"/>
      </w:divBdr>
    </w:div>
    <w:div w:id="741609721">
      <w:bodyDiv w:val="1"/>
      <w:marLeft w:val="0"/>
      <w:marRight w:val="0"/>
      <w:marTop w:val="0"/>
      <w:marBottom w:val="0"/>
      <w:divBdr>
        <w:top w:val="none" w:sz="0" w:space="0" w:color="auto"/>
        <w:left w:val="none" w:sz="0" w:space="0" w:color="auto"/>
        <w:bottom w:val="none" w:sz="0" w:space="0" w:color="auto"/>
        <w:right w:val="none" w:sz="0" w:space="0" w:color="auto"/>
      </w:divBdr>
    </w:div>
    <w:div w:id="883907886">
      <w:bodyDiv w:val="1"/>
      <w:marLeft w:val="0"/>
      <w:marRight w:val="0"/>
      <w:marTop w:val="0"/>
      <w:marBottom w:val="0"/>
      <w:divBdr>
        <w:top w:val="none" w:sz="0" w:space="0" w:color="auto"/>
        <w:left w:val="none" w:sz="0" w:space="0" w:color="auto"/>
        <w:bottom w:val="none" w:sz="0" w:space="0" w:color="auto"/>
        <w:right w:val="none" w:sz="0" w:space="0" w:color="auto"/>
      </w:divBdr>
    </w:div>
    <w:div w:id="1141575539">
      <w:bodyDiv w:val="1"/>
      <w:marLeft w:val="0"/>
      <w:marRight w:val="0"/>
      <w:marTop w:val="0"/>
      <w:marBottom w:val="0"/>
      <w:divBdr>
        <w:top w:val="none" w:sz="0" w:space="0" w:color="auto"/>
        <w:left w:val="none" w:sz="0" w:space="0" w:color="auto"/>
        <w:bottom w:val="none" w:sz="0" w:space="0" w:color="auto"/>
        <w:right w:val="none" w:sz="0" w:space="0" w:color="auto"/>
      </w:divBdr>
    </w:div>
    <w:div w:id="1153330158">
      <w:bodyDiv w:val="1"/>
      <w:marLeft w:val="0"/>
      <w:marRight w:val="0"/>
      <w:marTop w:val="0"/>
      <w:marBottom w:val="0"/>
      <w:divBdr>
        <w:top w:val="none" w:sz="0" w:space="0" w:color="auto"/>
        <w:left w:val="none" w:sz="0" w:space="0" w:color="auto"/>
        <w:bottom w:val="none" w:sz="0" w:space="0" w:color="auto"/>
        <w:right w:val="none" w:sz="0" w:space="0" w:color="auto"/>
      </w:divBdr>
    </w:div>
    <w:div w:id="1273050813">
      <w:bodyDiv w:val="1"/>
      <w:marLeft w:val="0"/>
      <w:marRight w:val="0"/>
      <w:marTop w:val="0"/>
      <w:marBottom w:val="0"/>
      <w:divBdr>
        <w:top w:val="none" w:sz="0" w:space="0" w:color="auto"/>
        <w:left w:val="none" w:sz="0" w:space="0" w:color="auto"/>
        <w:bottom w:val="none" w:sz="0" w:space="0" w:color="auto"/>
        <w:right w:val="none" w:sz="0" w:space="0" w:color="auto"/>
      </w:divBdr>
    </w:div>
    <w:div w:id="1282954329">
      <w:bodyDiv w:val="1"/>
      <w:marLeft w:val="0"/>
      <w:marRight w:val="0"/>
      <w:marTop w:val="0"/>
      <w:marBottom w:val="0"/>
      <w:divBdr>
        <w:top w:val="none" w:sz="0" w:space="0" w:color="auto"/>
        <w:left w:val="none" w:sz="0" w:space="0" w:color="auto"/>
        <w:bottom w:val="none" w:sz="0" w:space="0" w:color="auto"/>
        <w:right w:val="none" w:sz="0" w:space="0" w:color="auto"/>
      </w:divBdr>
    </w:div>
    <w:div w:id="1376661180">
      <w:bodyDiv w:val="1"/>
      <w:marLeft w:val="0"/>
      <w:marRight w:val="0"/>
      <w:marTop w:val="0"/>
      <w:marBottom w:val="0"/>
      <w:divBdr>
        <w:top w:val="none" w:sz="0" w:space="0" w:color="auto"/>
        <w:left w:val="none" w:sz="0" w:space="0" w:color="auto"/>
        <w:bottom w:val="none" w:sz="0" w:space="0" w:color="auto"/>
        <w:right w:val="none" w:sz="0" w:space="0" w:color="auto"/>
      </w:divBdr>
    </w:div>
    <w:div w:id="1542982162">
      <w:bodyDiv w:val="1"/>
      <w:marLeft w:val="0"/>
      <w:marRight w:val="0"/>
      <w:marTop w:val="0"/>
      <w:marBottom w:val="0"/>
      <w:divBdr>
        <w:top w:val="none" w:sz="0" w:space="0" w:color="auto"/>
        <w:left w:val="none" w:sz="0" w:space="0" w:color="auto"/>
        <w:bottom w:val="none" w:sz="0" w:space="0" w:color="auto"/>
        <w:right w:val="none" w:sz="0" w:space="0" w:color="auto"/>
      </w:divBdr>
    </w:div>
    <w:div w:id="1590583241">
      <w:bodyDiv w:val="1"/>
      <w:marLeft w:val="0"/>
      <w:marRight w:val="0"/>
      <w:marTop w:val="0"/>
      <w:marBottom w:val="0"/>
      <w:divBdr>
        <w:top w:val="none" w:sz="0" w:space="0" w:color="auto"/>
        <w:left w:val="none" w:sz="0" w:space="0" w:color="auto"/>
        <w:bottom w:val="none" w:sz="0" w:space="0" w:color="auto"/>
        <w:right w:val="none" w:sz="0" w:space="0" w:color="auto"/>
      </w:divBdr>
    </w:div>
    <w:div w:id="1627200371">
      <w:bodyDiv w:val="1"/>
      <w:marLeft w:val="0"/>
      <w:marRight w:val="0"/>
      <w:marTop w:val="0"/>
      <w:marBottom w:val="0"/>
      <w:divBdr>
        <w:top w:val="none" w:sz="0" w:space="0" w:color="auto"/>
        <w:left w:val="none" w:sz="0" w:space="0" w:color="auto"/>
        <w:bottom w:val="none" w:sz="0" w:space="0" w:color="auto"/>
        <w:right w:val="none" w:sz="0" w:space="0" w:color="auto"/>
      </w:divBdr>
    </w:div>
    <w:div w:id="1851217634">
      <w:bodyDiv w:val="1"/>
      <w:marLeft w:val="0"/>
      <w:marRight w:val="0"/>
      <w:marTop w:val="0"/>
      <w:marBottom w:val="0"/>
      <w:divBdr>
        <w:top w:val="none" w:sz="0" w:space="0" w:color="auto"/>
        <w:left w:val="none" w:sz="0" w:space="0" w:color="auto"/>
        <w:bottom w:val="none" w:sz="0" w:space="0" w:color="auto"/>
        <w:right w:val="none" w:sz="0" w:space="0" w:color="auto"/>
      </w:divBdr>
    </w:div>
    <w:div w:id="1875075806">
      <w:bodyDiv w:val="1"/>
      <w:marLeft w:val="0"/>
      <w:marRight w:val="0"/>
      <w:marTop w:val="0"/>
      <w:marBottom w:val="0"/>
      <w:divBdr>
        <w:top w:val="none" w:sz="0" w:space="0" w:color="auto"/>
        <w:left w:val="none" w:sz="0" w:space="0" w:color="auto"/>
        <w:bottom w:val="none" w:sz="0" w:space="0" w:color="auto"/>
        <w:right w:val="none" w:sz="0" w:space="0" w:color="auto"/>
      </w:divBdr>
    </w:div>
    <w:div w:id="212942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F1906CFFB84A4EB48742836ADA0AEC" ma:contentTypeVersion="12" ma:contentTypeDescription="Create a new document." ma:contentTypeScope="" ma:versionID="bf4335c8a9054fa7b3e8a5f8c506395e">
  <xsd:schema xmlns:xsd="http://www.w3.org/2001/XMLSchema" xmlns:xs="http://www.w3.org/2001/XMLSchema" xmlns:p="http://schemas.microsoft.com/office/2006/metadata/properties" xmlns:ns2="20019a79-bc6e-48e0-b086-f3b0eb31356a" xmlns:ns3="ae714cbd-9385-46e6-845f-d31628cf94d1" targetNamespace="http://schemas.microsoft.com/office/2006/metadata/properties" ma:root="true" ma:fieldsID="d4953c328915299ca1c08226fbd3b4ae" ns2:_="" ns3:_="">
    <xsd:import namespace="20019a79-bc6e-48e0-b086-f3b0eb31356a"/>
    <xsd:import namespace="ae714cbd-9385-46e6-845f-d31628cf94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9a79-bc6e-48e0-b086-f3b0eb313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14cbd-9385-46e6-845f-d31628cf9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A3D02-4529-477B-85F4-BE436E5DF6A5}">
  <ds:schemaRefs>
    <ds:schemaRef ds:uri="http://schemas.openxmlformats.org/officeDocument/2006/bibliography"/>
  </ds:schemaRefs>
</ds:datastoreItem>
</file>

<file path=customXml/itemProps2.xml><?xml version="1.0" encoding="utf-8"?>
<ds:datastoreItem xmlns:ds="http://schemas.openxmlformats.org/officeDocument/2006/customXml" ds:itemID="{7434452D-E59B-4451-B2D5-A761C203E099}"/>
</file>

<file path=customXml/itemProps3.xml><?xml version="1.0" encoding="utf-8"?>
<ds:datastoreItem xmlns:ds="http://schemas.openxmlformats.org/officeDocument/2006/customXml" ds:itemID="{8CEE2CBD-14B2-4DAD-8BDB-83247DAF04EA}">
  <ds:schemaRefs>
    <ds:schemaRef ds:uri="http://schemas.microsoft.com/sharepoint/v3/contenttype/forms"/>
  </ds:schemaRefs>
</ds:datastoreItem>
</file>

<file path=customXml/itemProps4.xml><?xml version="1.0" encoding="utf-8"?>
<ds:datastoreItem xmlns:ds="http://schemas.openxmlformats.org/officeDocument/2006/customXml" ds:itemID="{78C1A318-4CD0-4224-A5EC-952455A54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9682</Words>
  <Characters>55189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MRBL - FS</vt:lpstr>
    </vt:vector>
  </TitlesOfParts>
  <Company>Toshiba</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MRBL - FS</dc:title>
  <dc:subject/>
  <dc:creator>Alastair Brownlow</dc:creator>
  <cp:keywords/>
  <dc:description/>
  <cp:lastModifiedBy>Natasha Tsai</cp:lastModifiedBy>
  <cp:revision>3</cp:revision>
  <cp:lastPrinted>2020-04-27T05:31:00Z</cp:lastPrinted>
  <dcterms:created xsi:type="dcterms:W3CDTF">2021-08-30T20:43:00Z</dcterms:created>
  <dcterms:modified xsi:type="dcterms:W3CDTF">2021-08-30T20:43:00Z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0x0101001BF1906CFFB84A4EB48742836ADA0AEC</vt:lpwstr>
  </property>
</Properties>
</file>