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7042" w14:textId="2921B48C" w:rsidR="00771F16" w:rsidRDefault="008E5BBF" w:rsidP="009D4388">
      <w:pPr>
        <w:pStyle w:val="Title"/>
        <w:contextualSpacing w:val="0"/>
        <w:jc w:val="center"/>
        <w:rPr>
          <w:rFonts w:ascii="Times New Roman" w:hAnsi="Times New Roman" w:cs="Times New Roman"/>
          <w:b/>
          <w:bCs/>
          <w:sz w:val="36"/>
          <w:szCs w:val="36"/>
        </w:rPr>
      </w:pPr>
      <w:r>
        <w:rPr>
          <w:rFonts w:ascii="Times New Roman" w:hAnsi="Times New Roman" w:cs="Times New Roman"/>
          <w:b/>
          <w:bCs/>
          <w:sz w:val="36"/>
          <w:szCs w:val="36"/>
        </w:rPr>
        <w:t>MARBLE FINANCIAL INC.</w:t>
      </w:r>
    </w:p>
    <w:p w14:paraId="0D181EED" w14:textId="6B945666" w:rsidR="008E5BBF" w:rsidRPr="008E5BBF" w:rsidRDefault="008E5BBF" w:rsidP="009D4388">
      <w:pPr>
        <w:pStyle w:val="Title"/>
        <w:contextualSpacing w:val="0"/>
        <w:jc w:val="center"/>
        <w:rPr>
          <w:rFonts w:ascii="Times New Roman" w:hAnsi="Times New Roman" w:cs="Times New Roman"/>
          <w:b/>
          <w:bCs/>
          <w:sz w:val="20"/>
          <w:szCs w:val="20"/>
        </w:rPr>
      </w:pPr>
      <w:r w:rsidRPr="008E5BBF">
        <w:rPr>
          <w:rFonts w:ascii="Times New Roman" w:hAnsi="Times New Roman" w:cs="Times New Roman"/>
          <w:b/>
          <w:bCs/>
          <w:sz w:val="20"/>
          <w:szCs w:val="20"/>
        </w:rPr>
        <w:t>(</w:t>
      </w:r>
      <w:proofErr w:type="gramStart"/>
      <w:r w:rsidRPr="008E5BBF">
        <w:rPr>
          <w:rFonts w:ascii="Times New Roman" w:hAnsi="Times New Roman" w:cs="Times New Roman"/>
          <w:b/>
          <w:bCs/>
          <w:sz w:val="20"/>
          <w:szCs w:val="20"/>
        </w:rPr>
        <w:t>formerly</w:t>
      </w:r>
      <w:proofErr w:type="gramEnd"/>
      <w:r w:rsidRPr="008E5BBF">
        <w:rPr>
          <w:rFonts w:ascii="Times New Roman" w:hAnsi="Times New Roman" w:cs="Times New Roman"/>
          <w:b/>
          <w:bCs/>
          <w:sz w:val="20"/>
          <w:szCs w:val="20"/>
        </w:rPr>
        <w:t xml:space="preserve"> MLI Marble Lending Inc.)</w:t>
      </w:r>
    </w:p>
    <w:p w14:paraId="27432481" w14:textId="77777777" w:rsidR="00665759" w:rsidRDefault="00665759" w:rsidP="009D4388">
      <w:pPr>
        <w:spacing w:after="0" w:line="240" w:lineRule="auto"/>
        <w:jc w:val="center"/>
        <w:rPr>
          <w:rFonts w:ascii="Times New Roman" w:hAnsi="Times New Roman" w:cs="Times New Roman"/>
          <w:b/>
          <w:sz w:val="20"/>
          <w:szCs w:val="20"/>
        </w:rPr>
      </w:pPr>
    </w:p>
    <w:p w14:paraId="4EE07E60" w14:textId="0332373B" w:rsidR="00AF4362" w:rsidRPr="00390FF4" w:rsidRDefault="00EB22FD" w:rsidP="009D4388">
      <w:pPr>
        <w:spacing w:after="0" w:line="240" w:lineRule="auto"/>
        <w:jc w:val="center"/>
        <w:rPr>
          <w:rFonts w:ascii="Times New Roman" w:hAnsi="Times New Roman" w:cs="Times New Roman"/>
          <w:b/>
          <w:sz w:val="20"/>
          <w:szCs w:val="20"/>
        </w:rPr>
      </w:pPr>
      <w:r w:rsidRPr="00665759">
        <w:rPr>
          <w:rFonts w:ascii="Times New Roman" w:hAnsi="Times New Roman" w:cs="Times New Roman"/>
          <w:b/>
          <w:sz w:val="20"/>
          <w:szCs w:val="20"/>
        </w:rPr>
        <w:t>Management Discussion and Analysis</w:t>
      </w:r>
      <w:r w:rsidR="002C43C7" w:rsidRPr="00665759">
        <w:rPr>
          <w:rFonts w:ascii="Times New Roman" w:hAnsi="Times New Roman" w:cs="Times New Roman"/>
          <w:b/>
          <w:sz w:val="20"/>
          <w:szCs w:val="20"/>
        </w:rPr>
        <w:t xml:space="preserve"> (“MD&amp;A”)</w:t>
      </w:r>
      <w:r w:rsidRPr="00665759">
        <w:rPr>
          <w:rFonts w:ascii="Times New Roman" w:hAnsi="Times New Roman" w:cs="Times New Roman"/>
          <w:b/>
          <w:sz w:val="20"/>
          <w:szCs w:val="20"/>
        </w:rPr>
        <w:t xml:space="preserve"> of </w:t>
      </w:r>
      <w:r w:rsidRPr="00390FF4">
        <w:rPr>
          <w:rFonts w:ascii="Times New Roman" w:hAnsi="Times New Roman" w:cs="Times New Roman"/>
          <w:b/>
          <w:sz w:val="20"/>
          <w:szCs w:val="20"/>
        </w:rPr>
        <w:t xml:space="preserve">the Financial Position and Results of Operations for the </w:t>
      </w:r>
      <w:r w:rsidR="006A4DDD">
        <w:rPr>
          <w:rFonts w:ascii="Times New Roman" w:hAnsi="Times New Roman" w:cs="Times New Roman"/>
          <w:b/>
          <w:sz w:val="20"/>
          <w:szCs w:val="20"/>
        </w:rPr>
        <w:t>six months</w:t>
      </w:r>
      <w:r w:rsidR="00E2257D">
        <w:rPr>
          <w:rFonts w:ascii="Times New Roman" w:hAnsi="Times New Roman" w:cs="Times New Roman"/>
          <w:b/>
          <w:sz w:val="20"/>
          <w:szCs w:val="20"/>
        </w:rPr>
        <w:t xml:space="preserve"> </w:t>
      </w:r>
      <w:r w:rsidR="003D252D" w:rsidRPr="00390FF4">
        <w:rPr>
          <w:rFonts w:ascii="Times New Roman" w:hAnsi="Times New Roman" w:cs="Times New Roman"/>
          <w:b/>
          <w:sz w:val="20"/>
          <w:szCs w:val="20"/>
        </w:rPr>
        <w:t>end</w:t>
      </w:r>
      <w:r w:rsidR="00564249" w:rsidRPr="00390FF4">
        <w:rPr>
          <w:rFonts w:ascii="Times New Roman" w:hAnsi="Times New Roman" w:cs="Times New Roman"/>
          <w:b/>
          <w:sz w:val="20"/>
          <w:szCs w:val="20"/>
        </w:rPr>
        <w:t>ed</w:t>
      </w:r>
      <w:r w:rsidR="003D252D" w:rsidRPr="00390FF4">
        <w:rPr>
          <w:rFonts w:ascii="Times New Roman" w:hAnsi="Times New Roman" w:cs="Times New Roman"/>
          <w:b/>
          <w:sz w:val="20"/>
          <w:szCs w:val="20"/>
        </w:rPr>
        <w:t xml:space="preserve"> </w:t>
      </w:r>
      <w:r w:rsidR="006A4DDD">
        <w:rPr>
          <w:rFonts w:ascii="Times New Roman" w:hAnsi="Times New Roman" w:cs="Times New Roman"/>
          <w:b/>
          <w:sz w:val="20"/>
          <w:szCs w:val="20"/>
        </w:rPr>
        <w:t>June 30</w:t>
      </w:r>
      <w:r w:rsidR="003D252D" w:rsidRPr="00390FF4">
        <w:rPr>
          <w:rFonts w:ascii="Times New Roman" w:hAnsi="Times New Roman" w:cs="Times New Roman"/>
          <w:b/>
          <w:sz w:val="20"/>
          <w:szCs w:val="20"/>
        </w:rPr>
        <w:t xml:space="preserve">, </w:t>
      </w:r>
      <w:proofErr w:type="gramStart"/>
      <w:r w:rsidR="003D252D" w:rsidRPr="00390FF4">
        <w:rPr>
          <w:rFonts w:ascii="Times New Roman" w:hAnsi="Times New Roman" w:cs="Times New Roman"/>
          <w:b/>
          <w:sz w:val="20"/>
          <w:szCs w:val="20"/>
        </w:rPr>
        <w:t>20</w:t>
      </w:r>
      <w:r w:rsidR="00AF1007">
        <w:rPr>
          <w:rFonts w:ascii="Times New Roman" w:hAnsi="Times New Roman" w:cs="Times New Roman"/>
          <w:b/>
          <w:sz w:val="20"/>
          <w:szCs w:val="20"/>
        </w:rPr>
        <w:t>2</w:t>
      </w:r>
      <w:r w:rsidR="00193207">
        <w:rPr>
          <w:rFonts w:ascii="Times New Roman" w:hAnsi="Times New Roman" w:cs="Times New Roman"/>
          <w:b/>
          <w:sz w:val="20"/>
          <w:szCs w:val="20"/>
        </w:rPr>
        <w:t>1</w:t>
      </w:r>
      <w:proofErr w:type="gramEnd"/>
      <w:r w:rsidR="00BF7869" w:rsidRPr="00390FF4">
        <w:rPr>
          <w:rFonts w:ascii="Times New Roman" w:hAnsi="Times New Roman" w:cs="Times New Roman"/>
          <w:b/>
          <w:sz w:val="20"/>
          <w:szCs w:val="20"/>
        </w:rPr>
        <w:t xml:space="preserve"> as </w:t>
      </w:r>
      <w:r w:rsidR="00BF7869" w:rsidRPr="00005FD7">
        <w:rPr>
          <w:rFonts w:ascii="Times New Roman" w:hAnsi="Times New Roman" w:cs="Times New Roman"/>
          <w:b/>
          <w:sz w:val="20"/>
          <w:szCs w:val="20"/>
        </w:rPr>
        <w:t xml:space="preserve">of </w:t>
      </w:r>
      <w:r w:rsidR="00044E22" w:rsidRPr="00F0696B">
        <w:rPr>
          <w:rFonts w:ascii="Times New Roman" w:hAnsi="Times New Roman" w:cs="Times New Roman"/>
          <w:b/>
          <w:sz w:val="20"/>
          <w:szCs w:val="20"/>
        </w:rPr>
        <w:t>August 30</w:t>
      </w:r>
      <w:r w:rsidR="00BF7869" w:rsidRPr="00F0696B">
        <w:rPr>
          <w:rFonts w:ascii="Times New Roman" w:hAnsi="Times New Roman" w:cs="Times New Roman"/>
          <w:b/>
          <w:sz w:val="20"/>
          <w:szCs w:val="20"/>
        </w:rPr>
        <w:t>, 20</w:t>
      </w:r>
      <w:r w:rsidR="000618C6" w:rsidRPr="00F0696B">
        <w:rPr>
          <w:rFonts w:ascii="Times New Roman" w:hAnsi="Times New Roman" w:cs="Times New Roman"/>
          <w:b/>
          <w:sz w:val="20"/>
          <w:szCs w:val="20"/>
        </w:rPr>
        <w:t>2</w:t>
      </w:r>
      <w:r w:rsidR="00193207" w:rsidRPr="00F0696B">
        <w:rPr>
          <w:rFonts w:ascii="Times New Roman" w:hAnsi="Times New Roman" w:cs="Times New Roman"/>
          <w:b/>
          <w:sz w:val="20"/>
          <w:szCs w:val="20"/>
        </w:rPr>
        <w:t>1</w:t>
      </w:r>
    </w:p>
    <w:p w14:paraId="2BD67CCF" w14:textId="77777777" w:rsidR="00023F0D" w:rsidRPr="00390FF4" w:rsidRDefault="00023F0D" w:rsidP="009D4388">
      <w:pPr>
        <w:spacing w:after="0" w:line="240" w:lineRule="auto"/>
        <w:jc w:val="both"/>
        <w:rPr>
          <w:rFonts w:ascii="Times New Roman" w:hAnsi="Times New Roman" w:cs="Times New Roman"/>
          <w:sz w:val="20"/>
          <w:szCs w:val="20"/>
        </w:rPr>
      </w:pPr>
    </w:p>
    <w:p w14:paraId="5E7EE57E" w14:textId="089E2DB9" w:rsidR="00EB22FD" w:rsidRPr="00665759" w:rsidRDefault="00193207" w:rsidP="009D4388">
      <w:pPr>
        <w:spacing w:after="0" w:line="240" w:lineRule="auto"/>
        <w:jc w:val="both"/>
        <w:rPr>
          <w:rFonts w:ascii="Times New Roman" w:hAnsi="Times New Roman" w:cs="Times New Roman"/>
          <w:sz w:val="20"/>
          <w:szCs w:val="20"/>
        </w:rPr>
      </w:pPr>
      <w:r w:rsidRPr="00D974F5">
        <w:rPr>
          <w:rFonts w:ascii="Times New Roman" w:hAnsi="Times New Roman" w:cs="Times New Roman"/>
          <w:sz w:val="20"/>
          <w:szCs w:val="20"/>
        </w:rPr>
        <w:t xml:space="preserve">The following discussion is a review of the consolidated activities, results of operations and financial condition of Marble Financial Inc. and its subsidiary companies (the “Company” or “Marble”) for the </w:t>
      </w:r>
      <w:r w:rsidR="006A4DDD">
        <w:rPr>
          <w:rFonts w:ascii="Times New Roman" w:hAnsi="Times New Roman" w:cs="Times New Roman"/>
          <w:sz w:val="20"/>
          <w:szCs w:val="20"/>
        </w:rPr>
        <w:t>six months</w:t>
      </w:r>
      <w:r w:rsidR="00E2257D" w:rsidRPr="00D974F5">
        <w:rPr>
          <w:rFonts w:ascii="Times New Roman" w:hAnsi="Times New Roman" w:cs="Times New Roman"/>
          <w:sz w:val="20"/>
          <w:szCs w:val="20"/>
        </w:rPr>
        <w:t xml:space="preserve"> </w:t>
      </w:r>
      <w:r w:rsidRPr="00D974F5">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Pr="00D974F5">
        <w:rPr>
          <w:rFonts w:ascii="Times New Roman" w:hAnsi="Times New Roman" w:cs="Times New Roman"/>
          <w:sz w:val="20"/>
          <w:szCs w:val="20"/>
        </w:rPr>
        <w:t>, 202</w:t>
      </w:r>
      <w:r>
        <w:rPr>
          <w:rFonts w:ascii="Times New Roman" w:hAnsi="Times New Roman" w:cs="Times New Roman"/>
          <w:sz w:val="20"/>
          <w:szCs w:val="20"/>
        </w:rPr>
        <w:t>1</w:t>
      </w:r>
      <w:r w:rsidRPr="00D974F5">
        <w:rPr>
          <w:rFonts w:ascii="Times New Roman" w:hAnsi="Times New Roman" w:cs="Times New Roman"/>
          <w:sz w:val="20"/>
          <w:szCs w:val="20"/>
        </w:rPr>
        <w:t xml:space="preserve">. </w:t>
      </w:r>
      <w:r w:rsidR="00152CB9" w:rsidRPr="00390FF4">
        <w:rPr>
          <w:rFonts w:ascii="Times New Roman" w:hAnsi="Times New Roman" w:cs="Times New Roman"/>
          <w:sz w:val="20"/>
          <w:szCs w:val="20"/>
        </w:rPr>
        <w:t>The discussion below should be read in conjunction with the</w:t>
      </w:r>
      <w:r w:rsidR="00EB22FD" w:rsidRPr="00390FF4">
        <w:rPr>
          <w:rFonts w:ascii="Times New Roman" w:hAnsi="Times New Roman" w:cs="Times New Roman"/>
          <w:sz w:val="20"/>
          <w:szCs w:val="20"/>
        </w:rPr>
        <w:t xml:space="preserve"> </w:t>
      </w:r>
      <w:r w:rsidR="00E2257D">
        <w:rPr>
          <w:rFonts w:ascii="Times New Roman" w:hAnsi="Times New Roman" w:cs="Times New Roman"/>
          <w:sz w:val="20"/>
          <w:szCs w:val="20"/>
        </w:rPr>
        <w:t>Company</w:t>
      </w:r>
      <w:r w:rsidR="00E2257D" w:rsidRPr="00390FF4">
        <w:rPr>
          <w:rFonts w:ascii="Times New Roman" w:hAnsi="Times New Roman" w:cs="Times New Roman"/>
          <w:sz w:val="20"/>
          <w:szCs w:val="20"/>
        </w:rPr>
        <w:t xml:space="preserve">’s </w:t>
      </w:r>
      <w:r w:rsidR="00AF1007">
        <w:rPr>
          <w:rFonts w:ascii="Times New Roman" w:hAnsi="Times New Roman" w:cs="Times New Roman"/>
          <w:sz w:val="20"/>
          <w:szCs w:val="20"/>
        </w:rPr>
        <w:t xml:space="preserve">condensed </w:t>
      </w:r>
      <w:r w:rsidR="00772910" w:rsidRPr="00390FF4">
        <w:rPr>
          <w:rFonts w:ascii="Times New Roman" w:hAnsi="Times New Roman" w:cs="Times New Roman"/>
          <w:sz w:val="20"/>
          <w:szCs w:val="20"/>
        </w:rPr>
        <w:t>consolidated</w:t>
      </w:r>
      <w:r w:rsidR="003C62F6" w:rsidRPr="00390FF4">
        <w:rPr>
          <w:rFonts w:ascii="Times New Roman" w:hAnsi="Times New Roman" w:cs="Times New Roman"/>
          <w:sz w:val="20"/>
          <w:szCs w:val="20"/>
        </w:rPr>
        <w:t xml:space="preserve"> </w:t>
      </w:r>
      <w:r w:rsidR="00AF1007">
        <w:rPr>
          <w:rFonts w:ascii="Times New Roman" w:hAnsi="Times New Roman" w:cs="Times New Roman"/>
          <w:sz w:val="20"/>
          <w:szCs w:val="20"/>
        </w:rPr>
        <w:t xml:space="preserve">interim </w:t>
      </w:r>
      <w:r w:rsidR="002D63CF" w:rsidRPr="00390FF4">
        <w:rPr>
          <w:rFonts w:ascii="Times New Roman" w:hAnsi="Times New Roman" w:cs="Times New Roman"/>
          <w:sz w:val="20"/>
          <w:szCs w:val="20"/>
        </w:rPr>
        <w:t>financial</w:t>
      </w:r>
      <w:r w:rsidR="00152CB9" w:rsidRPr="00390FF4">
        <w:rPr>
          <w:rFonts w:ascii="Times New Roman" w:hAnsi="Times New Roman" w:cs="Times New Roman"/>
          <w:sz w:val="20"/>
          <w:szCs w:val="20"/>
        </w:rPr>
        <w:t xml:space="preserve"> statements for the </w:t>
      </w:r>
      <w:r w:rsidR="00044E22">
        <w:rPr>
          <w:rFonts w:ascii="Times New Roman" w:hAnsi="Times New Roman" w:cs="Times New Roman"/>
          <w:sz w:val="20"/>
          <w:szCs w:val="20"/>
        </w:rPr>
        <w:t xml:space="preserve">three and </w:t>
      </w:r>
      <w:r w:rsidR="006A4DDD">
        <w:rPr>
          <w:rFonts w:ascii="Times New Roman" w:hAnsi="Times New Roman" w:cs="Times New Roman"/>
          <w:sz w:val="20"/>
          <w:szCs w:val="20"/>
        </w:rPr>
        <w:t>six months</w:t>
      </w:r>
      <w:r w:rsidR="00E2257D">
        <w:rPr>
          <w:rFonts w:ascii="Times New Roman" w:hAnsi="Times New Roman" w:cs="Times New Roman"/>
          <w:sz w:val="20"/>
          <w:szCs w:val="20"/>
        </w:rPr>
        <w:t xml:space="preserve"> </w:t>
      </w:r>
      <w:r w:rsidR="00152CB9" w:rsidRPr="00390FF4">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152CB9" w:rsidRPr="00390FF4">
        <w:rPr>
          <w:rFonts w:ascii="Times New Roman" w:hAnsi="Times New Roman" w:cs="Times New Roman"/>
          <w:sz w:val="20"/>
          <w:szCs w:val="20"/>
        </w:rPr>
        <w:t xml:space="preserve">, </w:t>
      </w:r>
      <w:proofErr w:type="gramStart"/>
      <w:r w:rsidR="008C1849" w:rsidRPr="00390FF4">
        <w:rPr>
          <w:rFonts w:ascii="Times New Roman" w:hAnsi="Times New Roman" w:cs="Times New Roman"/>
          <w:sz w:val="20"/>
          <w:szCs w:val="20"/>
        </w:rPr>
        <w:t>20</w:t>
      </w:r>
      <w:r w:rsidR="00AF1007">
        <w:rPr>
          <w:rFonts w:ascii="Times New Roman" w:hAnsi="Times New Roman" w:cs="Times New Roman"/>
          <w:sz w:val="20"/>
          <w:szCs w:val="20"/>
        </w:rPr>
        <w:t>2</w:t>
      </w:r>
      <w:r>
        <w:rPr>
          <w:rFonts w:ascii="Times New Roman" w:hAnsi="Times New Roman" w:cs="Times New Roman"/>
          <w:sz w:val="20"/>
          <w:szCs w:val="20"/>
        </w:rPr>
        <w:t>1</w:t>
      </w:r>
      <w:proofErr w:type="gramEnd"/>
      <w:r w:rsidR="008C1849" w:rsidRPr="00390FF4">
        <w:rPr>
          <w:rFonts w:ascii="Times New Roman" w:hAnsi="Times New Roman" w:cs="Times New Roman"/>
          <w:sz w:val="20"/>
          <w:szCs w:val="20"/>
        </w:rPr>
        <w:t xml:space="preserve"> </w:t>
      </w:r>
      <w:r w:rsidR="00EA2F60" w:rsidRPr="00390FF4">
        <w:rPr>
          <w:rFonts w:ascii="Times New Roman" w:hAnsi="Times New Roman" w:cs="Times New Roman"/>
          <w:sz w:val="20"/>
          <w:szCs w:val="20"/>
        </w:rPr>
        <w:t>and notes thereto</w:t>
      </w:r>
      <w:r w:rsidR="00152CB9" w:rsidRPr="00390FF4">
        <w:rPr>
          <w:rFonts w:ascii="Times New Roman" w:hAnsi="Times New Roman" w:cs="Times New Roman"/>
          <w:sz w:val="20"/>
          <w:szCs w:val="20"/>
        </w:rPr>
        <w:t xml:space="preserve">.  Those </w:t>
      </w:r>
      <w:r w:rsidR="00AF1007">
        <w:rPr>
          <w:rFonts w:ascii="Times New Roman" w:hAnsi="Times New Roman" w:cs="Times New Roman"/>
          <w:sz w:val="20"/>
          <w:szCs w:val="20"/>
        </w:rPr>
        <w:t xml:space="preserve">condensed consolidated interim </w:t>
      </w:r>
      <w:r w:rsidR="00152CB9" w:rsidRPr="00390FF4">
        <w:rPr>
          <w:rFonts w:ascii="Times New Roman" w:hAnsi="Times New Roman" w:cs="Times New Roman"/>
          <w:sz w:val="20"/>
          <w:szCs w:val="20"/>
        </w:rPr>
        <w:t xml:space="preserve">financial statements </w:t>
      </w:r>
      <w:r w:rsidR="00EB22FD" w:rsidRPr="00390FF4">
        <w:rPr>
          <w:rFonts w:ascii="Times New Roman" w:hAnsi="Times New Roman" w:cs="Times New Roman"/>
          <w:sz w:val="20"/>
          <w:szCs w:val="20"/>
        </w:rPr>
        <w:t>have been prepared by management and are in accordance with International</w:t>
      </w:r>
      <w:r w:rsidR="002C43C7" w:rsidRPr="00390FF4">
        <w:rPr>
          <w:rFonts w:ascii="Times New Roman" w:hAnsi="Times New Roman" w:cs="Times New Roman"/>
          <w:sz w:val="20"/>
          <w:szCs w:val="20"/>
        </w:rPr>
        <w:t xml:space="preserve"> Financial Reporting Standards (“IFRS”).  The </w:t>
      </w:r>
      <w:r w:rsidR="00152CB9" w:rsidRPr="00390FF4">
        <w:rPr>
          <w:rFonts w:ascii="Times New Roman" w:hAnsi="Times New Roman" w:cs="Times New Roman"/>
          <w:sz w:val="20"/>
          <w:szCs w:val="20"/>
        </w:rPr>
        <w:t>f</w:t>
      </w:r>
      <w:r w:rsidR="002C43C7" w:rsidRPr="00390FF4">
        <w:rPr>
          <w:rFonts w:ascii="Times New Roman" w:hAnsi="Times New Roman" w:cs="Times New Roman"/>
          <w:sz w:val="20"/>
          <w:szCs w:val="20"/>
        </w:rPr>
        <w:t xml:space="preserve">inancial </w:t>
      </w:r>
      <w:r w:rsidR="00152CB9" w:rsidRPr="00390FF4">
        <w:rPr>
          <w:rFonts w:ascii="Times New Roman" w:hAnsi="Times New Roman" w:cs="Times New Roman"/>
          <w:sz w:val="20"/>
          <w:szCs w:val="20"/>
        </w:rPr>
        <w:t>s</w:t>
      </w:r>
      <w:r w:rsidR="002C43C7" w:rsidRPr="00390FF4">
        <w:rPr>
          <w:rFonts w:ascii="Times New Roman" w:hAnsi="Times New Roman" w:cs="Times New Roman"/>
          <w:sz w:val="20"/>
          <w:szCs w:val="20"/>
        </w:rPr>
        <w:t>tatements and the MD&amp;A</w:t>
      </w:r>
      <w:r w:rsidR="00EB22FD" w:rsidRPr="00390FF4">
        <w:rPr>
          <w:rFonts w:ascii="Times New Roman" w:hAnsi="Times New Roman" w:cs="Times New Roman"/>
          <w:sz w:val="20"/>
          <w:szCs w:val="20"/>
        </w:rPr>
        <w:t xml:space="preserve"> </w:t>
      </w:r>
      <w:r w:rsidR="002C43C7" w:rsidRPr="00390FF4">
        <w:rPr>
          <w:rFonts w:ascii="Times New Roman" w:hAnsi="Times New Roman" w:cs="Times New Roman"/>
          <w:sz w:val="20"/>
          <w:szCs w:val="20"/>
        </w:rPr>
        <w:t xml:space="preserve">have been reviewed by the Audit Committee and approved by the </w:t>
      </w:r>
      <w:r>
        <w:rPr>
          <w:rFonts w:ascii="Times New Roman" w:hAnsi="Times New Roman" w:cs="Times New Roman"/>
          <w:sz w:val="20"/>
          <w:szCs w:val="20"/>
        </w:rPr>
        <w:t>Company</w:t>
      </w:r>
      <w:r w:rsidR="002C43C7" w:rsidRPr="00390FF4">
        <w:rPr>
          <w:rFonts w:ascii="Times New Roman" w:hAnsi="Times New Roman" w:cs="Times New Roman"/>
          <w:sz w:val="20"/>
          <w:szCs w:val="20"/>
        </w:rPr>
        <w:t xml:space="preserve">’s Board of </w:t>
      </w:r>
      <w:r w:rsidR="002C43C7" w:rsidRPr="007B23C0">
        <w:rPr>
          <w:rFonts w:ascii="Times New Roman" w:hAnsi="Times New Roman" w:cs="Times New Roman"/>
          <w:sz w:val="20"/>
          <w:szCs w:val="20"/>
        </w:rPr>
        <w:t xml:space="preserve">Directors on </w:t>
      </w:r>
      <w:r w:rsidR="002C51FD" w:rsidRPr="00F0696B">
        <w:rPr>
          <w:rFonts w:ascii="Times New Roman" w:hAnsi="Times New Roman" w:cs="Times New Roman"/>
          <w:sz w:val="20"/>
          <w:szCs w:val="20"/>
        </w:rPr>
        <w:t>August</w:t>
      </w:r>
      <w:r w:rsidR="00AF1007" w:rsidRPr="00F0696B">
        <w:rPr>
          <w:rFonts w:ascii="Times New Roman" w:hAnsi="Times New Roman" w:cs="Times New Roman"/>
          <w:sz w:val="20"/>
          <w:szCs w:val="20"/>
        </w:rPr>
        <w:t xml:space="preserve"> </w:t>
      </w:r>
      <w:r w:rsidR="00044E22" w:rsidRPr="00F0696B">
        <w:rPr>
          <w:rFonts w:ascii="Times New Roman" w:hAnsi="Times New Roman" w:cs="Times New Roman"/>
          <w:sz w:val="20"/>
          <w:szCs w:val="20"/>
        </w:rPr>
        <w:t>30</w:t>
      </w:r>
      <w:r w:rsidR="002C43C7" w:rsidRPr="00F0696B">
        <w:rPr>
          <w:rFonts w:ascii="Times New Roman" w:hAnsi="Times New Roman" w:cs="Times New Roman"/>
          <w:sz w:val="20"/>
          <w:szCs w:val="20"/>
        </w:rPr>
        <w:t>, 20</w:t>
      </w:r>
      <w:r w:rsidR="00E76742" w:rsidRPr="00F0696B">
        <w:rPr>
          <w:rFonts w:ascii="Times New Roman" w:hAnsi="Times New Roman" w:cs="Times New Roman"/>
          <w:sz w:val="20"/>
          <w:szCs w:val="20"/>
        </w:rPr>
        <w:t>2</w:t>
      </w:r>
      <w:r w:rsidRPr="00F0696B">
        <w:rPr>
          <w:rFonts w:ascii="Times New Roman" w:hAnsi="Times New Roman" w:cs="Times New Roman"/>
          <w:sz w:val="20"/>
          <w:szCs w:val="20"/>
        </w:rPr>
        <w:t>1</w:t>
      </w:r>
      <w:r w:rsidR="002C43C7" w:rsidRPr="00FC7420">
        <w:rPr>
          <w:rFonts w:ascii="Times New Roman" w:hAnsi="Times New Roman" w:cs="Times New Roman"/>
          <w:sz w:val="20"/>
          <w:szCs w:val="20"/>
        </w:rPr>
        <w:t xml:space="preserve">.  </w:t>
      </w:r>
      <w:r w:rsidRPr="00FC7420">
        <w:rPr>
          <w:rFonts w:ascii="Times New Roman" w:hAnsi="Times New Roman" w:cs="Times New Roman"/>
          <w:sz w:val="20"/>
          <w:szCs w:val="20"/>
        </w:rPr>
        <w:t>The Canadian dollar is the functional and reporting currency of Marble.  All dollar amounts within this report are expressed in Canadian dollars unless otherwise indicated.</w:t>
      </w:r>
    </w:p>
    <w:p w14:paraId="18D54C19" w14:textId="77777777" w:rsidR="00665759" w:rsidRPr="00665759" w:rsidRDefault="00665759" w:rsidP="009D4388">
      <w:pPr>
        <w:spacing w:after="0" w:line="240" w:lineRule="auto"/>
        <w:jc w:val="both"/>
        <w:rPr>
          <w:rFonts w:ascii="Times New Roman" w:hAnsi="Times New Roman" w:cs="Times New Roman"/>
          <w:sz w:val="20"/>
          <w:szCs w:val="20"/>
        </w:rPr>
      </w:pPr>
    </w:p>
    <w:p w14:paraId="4536F9E0" w14:textId="18C53595" w:rsidR="002C43C7" w:rsidRPr="00665759" w:rsidRDefault="002C43C7" w:rsidP="009D4388">
      <w:pPr>
        <w:spacing w:after="0" w:line="240" w:lineRule="auto"/>
        <w:jc w:val="both"/>
        <w:rPr>
          <w:rFonts w:ascii="Times New Roman" w:hAnsi="Times New Roman" w:cs="Times New Roman"/>
          <w:sz w:val="20"/>
          <w:szCs w:val="20"/>
        </w:rPr>
      </w:pPr>
      <w:r w:rsidRPr="00665759">
        <w:rPr>
          <w:rFonts w:ascii="Times New Roman" w:hAnsi="Times New Roman" w:cs="Times New Roman"/>
          <w:sz w:val="20"/>
          <w:szCs w:val="20"/>
        </w:rPr>
        <w:t xml:space="preserve">Additional information related to the </w:t>
      </w:r>
      <w:r w:rsidR="00A45F48">
        <w:rPr>
          <w:rFonts w:ascii="Times New Roman" w:hAnsi="Times New Roman" w:cs="Times New Roman"/>
          <w:sz w:val="20"/>
          <w:szCs w:val="20"/>
        </w:rPr>
        <w:t>Company</w:t>
      </w:r>
      <w:r w:rsidR="00A45F48" w:rsidRPr="00665759">
        <w:rPr>
          <w:rFonts w:ascii="Times New Roman" w:hAnsi="Times New Roman" w:cs="Times New Roman"/>
          <w:sz w:val="20"/>
          <w:szCs w:val="20"/>
        </w:rPr>
        <w:t xml:space="preserve"> </w:t>
      </w:r>
      <w:r w:rsidRPr="00665759">
        <w:rPr>
          <w:rFonts w:ascii="Times New Roman" w:hAnsi="Times New Roman" w:cs="Times New Roman"/>
          <w:sz w:val="20"/>
          <w:szCs w:val="20"/>
        </w:rPr>
        <w:t xml:space="preserve">is available on SEDAR at </w:t>
      </w:r>
      <w:r w:rsidRPr="00665759">
        <w:rPr>
          <w:rFonts w:ascii="Times New Roman" w:hAnsi="Times New Roman" w:cs="Times New Roman"/>
          <w:color w:val="0000FF"/>
          <w:sz w:val="20"/>
          <w:szCs w:val="20"/>
          <w:u w:val="single"/>
        </w:rPr>
        <w:t>www.sedar.com</w:t>
      </w:r>
      <w:r w:rsidRPr="00665759">
        <w:rPr>
          <w:rFonts w:ascii="Times New Roman" w:hAnsi="Times New Roman" w:cs="Times New Roman"/>
          <w:sz w:val="20"/>
          <w:szCs w:val="20"/>
        </w:rPr>
        <w:t>.</w:t>
      </w:r>
    </w:p>
    <w:p w14:paraId="4602FC0A" w14:textId="77777777" w:rsidR="002A6793" w:rsidRPr="00665759" w:rsidRDefault="002A6793" w:rsidP="009D4388">
      <w:pPr>
        <w:spacing w:after="0" w:line="240" w:lineRule="auto"/>
        <w:jc w:val="both"/>
        <w:rPr>
          <w:rFonts w:ascii="Times New Roman" w:eastAsiaTheme="majorEastAsia" w:hAnsi="Times New Roman" w:cs="Times New Roman"/>
          <w:sz w:val="20"/>
          <w:szCs w:val="20"/>
        </w:rPr>
      </w:pPr>
    </w:p>
    <w:p w14:paraId="03A272AE" w14:textId="77777777" w:rsidR="00193207" w:rsidRPr="00665759" w:rsidRDefault="00193207" w:rsidP="00193207">
      <w:pPr>
        <w:spacing w:after="0" w:line="240" w:lineRule="auto"/>
        <w:jc w:val="both"/>
        <w:rPr>
          <w:rFonts w:ascii="Times New Roman" w:eastAsiaTheme="majorEastAsia" w:hAnsi="Times New Roman" w:cs="Times New Roman"/>
          <w:b/>
          <w:bCs/>
          <w:sz w:val="20"/>
          <w:szCs w:val="20"/>
        </w:rPr>
      </w:pPr>
      <w:r w:rsidRPr="00665759">
        <w:rPr>
          <w:rFonts w:ascii="Times New Roman" w:eastAsiaTheme="majorEastAsia" w:hAnsi="Times New Roman" w:cs="Times New Roman"/>
          <w:b/>
          <w:bCs/>
          <w:sz w:val="20"/>
          <w:szCs w:val="20"/>
        </w:rPr>
        <w:t>CAUTION REGARDING FORWARD-LOOKING STATEMENTS</w:t>
      </w:r>
    </w:p>
    <w:p w14:paraId="0A163350" w14:textId="77777777" w:rsidR="00193207" w:rsidRPr="00665759" w:rsidRDefault="00193207" w:rsidP="00193207">
      <w:pPr>
        <w:spacing w:after="0" w:line="240" w:lineRule="auto"/>
        <w:jc w:val="both"/>
        <w:rPr>
          <w:rFonts w:ascii="Times New Roman" w:hAnsi="Times New Roman" w:cs="Times New Roman"/>
          <w:sz w:val="20"/>
          <w:szCs w:val="20"/>
        </w:rPr>
      </w:pPr>
    </w:p>
    <w:p w14:paraId="10BB3D16" w14:textId="77777777" w:rsidR="00193207" w:rsidRPr="00665759" w:rsidRDefault="00193207" w:rsidP="00193207">
      <w:pPr>
        <w:spacing w:after="0" w:line="240" w:lineRule="auto"/>
        <w:jc w:val="both"/>
        <w:rPr>
          <w:rFonts w:ascii="Times New Roman" w:hAnsi="Times New Roman" w:cs="Times New Roman"/>
          <w:sz w:val="20"/>
          <w:szCs w:val="20"/>
        </w:rPr>
      </w:pPr>
      <w:r w:rsidRPr="00665759">
        <w:rPr>
          <w:rFonts w:ascii="Times New Roman" w:hAnsi="Times New Roman" w:cs="Times New Roman"/>
          <w:sz w:val="20"/>
          <w:szCs w:val="20"/>
        </w:rPr>
        <w:t xml:space="preserve">This MD&amp;A may contain forward-looking statements for the purpose of applicable Canadian securities legislation.  These statements reflect the </w:t>
      </w:r>
      <w:r>
        <w:rPr>
          <w:rFonts w:ascii="Times New Roman" w:hAnsi="Times New Roman" w:cs="Times New Roman"/>
          <w:sz w:val="20"/>
          <w:szCs w:val="20"/>
        </w:rPr>
        <w:t>Company</w:t>
      </w:r>
      <w:r w:rsidRPr="00665759">
        <w:rPr>
          <w:rFonts w:ascii="Times New Roman" w:hAnsi="Times New Roman" w:cs="Times New Roman"/>
          <w:sz w:val="20"/>
          <w:szCs w:val="20"/>
        </w:rPr>
        <w:t xml:space="preserve">’s current expectations and estimates.  All statements other than statements of historical fact are forward-looking statements.  Forward-looking statements are frequently characterized by words such as “plan”, “expect”, “project”, “intend”, “believe”, “anticipate”, “estimate”, “suggest”, “indicate” and other similar words or statements that certain events or conditions “may” or “will” occur.  Such forward-looking statements involve known and unknown risks, uncertainties and other factors that could cause actual events or results to differ materially from estimated or anticipated events or results implied or expressed in such forward-looking statements.  The forward-looking information contained in this MD&amp;A is presented for the purpose of assisting </w:t>
      </w:r>
      <w:r>
        <w:rPr>
          <w:rFonts w:ascii="Times New Roman" w:hAnsi="Times New Roman" w:cs="Times New Roman"/>
          <w:sz w:val="20"/>
          <w:szCs w:val="20"/>
        </w:rPr>
        <w:t>readers</w:t>
      </w:r>
      <w:r w:rsidRPr="00665759">
        <w:rPr>
          <w:rFonts w:ascii="Times New Roman" w:hAnsi="Times New Roman" w:cs="Times New Roman"/>
          <w:sz w:val="20"/>
          <w:szCs w:val="20"/>
        </w:rPr>
        <w:t xml:space="preserve"> in understanding the </w:t>
      </w:r>
      <w:r>
        <w:rPr>
          <w:rFonts w:ascii="Times New Roman" w:hAnsi="Times New Roman" w:cs="Times New Roman"/>
          <w:sz w:val="20"/>
          <w:szCs w:val="20"/>
        </w:rPr>
        <w:t>Company</w:t>
      </w:r>
      <w:r w:rsidRPr="00665759">
        <w:rPr>
          <w:rFonts w:ascii="Times New Roman" w:hAnsi="Times New Roman" w:cs="Times New Roman"/>
          <w:sz w:val="20"/>
          <w:szCs w:val="20"/>
        </w:rPr>
        <w:t xml:space="preserve">’s strategic priorities and objectives as at the periods indicated and may not be appropriate for other purposes.  No assurance can be given that these expectations will prove to be correct and such forward-looking statements included in this MD&amp;A should not be unduly relied upon.  Circumstances affecting the </w:t>
      </w:r>
      <w:r>
        <w:rPr>
          <w:rFonts w:ascii="Times New Roman" w:hAnsi="Times New Roman" w:cs="Times New Roman"/>
          <w:sz w:val="20"/>
          <w:szCs w:val="20"/>
        </w:rPr>
        <w:t>Company</w:t>
      </w:r>
      <w:r w:rsidRPr="00665759">
        <w:rPr>
          <w:rFonts w:ascii="Times New Roman" w:hAnsi="Times New Roman" w:cs="Times New Roman"/>
          <w:sz w:val="20"/>
          <w:szCs w:val="20"/>
        </w:rPr>
        <w:t xml:space="preserve"> may change rapidly.  Except as may be required by applicable law, the </w:t>
      </w:r>
      <w:r>
        <w:rPr>
          <w:rFonts w:ascii="Times New Roman" w:hAnsi="Times New Roman" w:cs="Times New Roman"/>
          <w:sz w:val="20"/>
          <w:szCs w:val="20"/>
        </w:rPr>
        <w:t>Company</w:t>
      </w:r>
      <w:r w:rsidRPr="00665759">
        <w:rPr>
          <w:rFonts w:ascii="Times New Roman" w:hAnsi="Times New Roman" w:cs="Times New Roman"/>
          <w:sz w:val="20"/>
          <w:szCs w:val="20"/>
        </w:rPr>
        <w:t xml:space="preserve"> does not undertake any obligation to update publicly or revise any such forward-looking statements, whether </w:t>
      </w:r>
      <w:proofErr w:type="gramStart"/>
      <w:r w:rsidRPr="00665759">
        <w:rPr>
          <w:rFonts w:ascii="Times New Roman" w:hAnsi="Times New Roman" w:cs="Times New Roman"/>
          <w:sz w:val="20"/>
          <w:szCs w:val="20"/>
        </w:rPr>
        <w:t>as a result of</w:t>
      </w:r>
      <w:proofErr w:type="gramEnd"/>
      <w:r w:rsidRPr="00665759">
        <w:rPr>
          <w:rFonts w:ascii="Times New Roman" w:hAnsi="Times New Roman" w:cs="Times New Roman"/>
          <w:sz w:val="20"/>
          <w:szCs w:val="20"/>
        </w:rPr>
        <w:t xml:space="preserve"> new information, future events or otherwise.  Unless otherwise indicated, these statements speak only as of the date of this MD&amp;A.</w:t>
      </w:r>
    </w:p>
    <w:p w14:paraId="7A23313B" w14:textId="77777777" w:rsidR="00193207" w:rsidRPr="00665759" w:rsidRDefault="00193207" w:rsidP="00193207">
      <w:pPr>
        <w:spacing w:after="0" w:line="240" w:lineRule="auto"/>
        <w:jc w:val="both"/>
        <w:rPr>
          <w:rFonts w:ascii="Times New Roman" w:hAnsi="Times New Roman" w:cs="Times New Roman"/>
          <w:sz w:val="20"/>
          <w:szCs w:val="20"/>
        </w:rPr>
      </w:pPr>
    </w:p>
    <w:p w14:paraId="3324A623" w14:textId="77777777" w:rsidR="00193207" w:rsidRPr="00665759" w:rsidRDefault="00193207" w:rsidP="00193207">
      <w:pPr>
        <w:spacing w:after="0" w:line="240" w:lineRule="auto"/>
        <w:jc w:val="both"/>
        <w:rPr>
          <w:rFonts w:ascii="Times New Roman" w:hAnsi="Times New Roman" w:cs="Times New Roman"/>
          <w:sz w:val="20"/>
          <w:szCs w:val="20"/>
        </w:rPr>
      </w:pPr>
      <w:r w:rsidRPr="00665759">
        <w:rPr>
          <w:rFonts w:ascii="Times New Roman" w:hAnsi="Times New Roman" w:cs="Times New Roman"/>
          <w:sz w:val="20"/>
          <w:szCs w:val="20"/>
        </w:rPr>
        <w:t>Actual results could differ materially from those anticipated in forward-looking statements stated within the MD&amp;A.</w:t>
      </w:r>
    </w:p>
    <w:p w14:paraId="20065061" w14:textId="77777777" w:rsidR="00193207" w:rsidRPr="00665759" w:rsidRDefault="00193207" w:rsidP="00193207">
      <w:pPr>
        <w:spacing w:after="0" w:line="240" w:lineRule="auto"/>
        <w:jc w:val="both"/>
        <w:rPr>
          <w:rFonts w:ascii="Times New Roman" w:hAnsi="Times New Roman" w:cs="Times New Roman"/>
          <w:b/>
          <w:sz w:val="20"/>
          <w:szCs w:val="20"/>
        </w:rPr>
      </w:pPr>
    </w:p>
    <w:p w14:paraId="2D464D8A" w14:textId="77777777" w:rsidR="00193207" w:rsidRDefault="00193207" w:rsidP="0019320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COMPANY</w:t>
      </w:r>
      <w:r w:rsidRPr="00665759">
        <w:rPr>
          <w:rFonts w:ascii="Times New Roman" w:hAnsi="Times New Roman" w:cs="Times New Roman"/>
          <w:b/>
          <w:sz w:val="20"/>
          <w:szCs w:val="20"/>
        </w:rPr>
        <w:t xml:space="preserve"> OVERVIEW</w:t>
      </w:r>
      <w:r>
        <w:rPr>
          <w:rFonts w:ascii="Times New Roman" w:hAnsi="Times New Roman" w:cs="Times New Roman"/>
          <w:b/>
          <w:sz w:val="20"/>
          <w:szCs w:val="20"/>
        </w:rPr>
        <w:t xml:space="preserve"> AND GOING CONCERN</w:t>
      </w:r>
    </w:p>
    <w:p w14:paraId="26F053DC" w14:textId="77777777" w:rsidR="00665759" w:rsidRPr="00665759" w:rsidRDefault="00665759" w:rsidP="009D4388">
      <w:pPr>
        <w:spacing w:after="0" w:line="240" w:lineRule="auto"/>
        <w:jc w:val="both"/>
        <w:rPr>
          <w:rFonts w:ascii="Times New Roman" w:hAnsi="Times New Roman" w:cs="Times New Roman"/>
          <w:b/>
          <w:sz w:val="20"/>
          <w:szCs w:val="20"/>
        </w:rPr>
      </w:pPr>
    </w:p>
    <w:p w14:paraId="0AAB33B3" w14:textId="036C1B46" w:rsidR="00193207" w:rsidRDefault="00193207" w:rsidP="00193207">
      <w:pPr>
        <w:spacing w:after="0" w:line="240" w:lineRule="auto"/>
        <w:jc w:val="both"/>
        <w:rPr>
          <w:rFonts w:ascii="Times New Roman" w:hAnsi="Times New Roman" w:cs="Times New Roman"/>
          <w:sz w:val="20"/>
          <w:szCs w:val="20"/>
        </w:rPr>
      </w:pPr>
      <w:bookmarkStart w:id="0" w:name="_Hlk514417999"/>
      <w:r w:rsidRPr="00990F2C">
        <w:rPr>
          <w:rFonts w:ascii="Times New Roman" w:hAnsi="Times New Roman" w:cs="Times New Roman"/>
          <w:sz w:val="20"/>
          <w:szCs w:val="20"/>
        </w:rPr>
        <w:t>Marble empowers Canadians towards</w:t>
      </w:r>
      <w:r w:rsidRPr="00152D99">
        <w:rPr>
          <w:rFonts w:ascii="Times New Roman" w:hAnsi="Times New Roman" w:cs="Times New Roman"/>
          <w:sz w:val="20"/>
          <w:szCs w:val="20"/>
        </w:rPr>
        <w:t xml:space="preserve"> </w:t>
      </w:r>
      <w:r w:rsidRPr="00990F2C">
        <w:rPr>
          <w:rFonts w:ascii="Times New Roman" w:hAnsi="Times New Roman" w:cs="Times New Roman"/>
          <w:sz w:val="20"/>
          <w:szCs w:val="20"/>
        </w:rPr>
        <w:t>financial inclusion</w:t>
      </w:r>
      <w:r w:rsidRPr="00152D99">
        <w:rPr>
          <w:rFonts w:ascii="Times New Roman" w:hAnsi="Times New Roman" w:cs="Times New Roman"/>
          <w:sz w:val="20"/>
          <w:szCs w:val="20"/>
        </w:rPr>
        <w:t xml:space="preserve"> and a positive financial future through its proprietary technology and credit solutions. </w:t>
      </w:r>
      <w:r w:rsidRPr="00152D99">
        <w:rPr>
          <w:rFonts w:ascii="Times New Roman" w:hAnsi="Times New Roman" w:cs="Times New Roman" w:hint="eastAsia"/>
          <w:sz w:val="20"/>
          <w:szCs w:val="20"/>
        </w:rPr>
        <w:t>The Company</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 xml:space="preserve">s </w:t>
      </w:r>
      <w:r w:rsidRPr="00990F2C">
        <w:rPr>
          <w:rFonts w:ascii="Times New Roman" w:hAnsi="Times New Roman" w:cs="Times New Roman"/>
          <w:sz w:val="20"/>
          <w:szCs w:val="20"/>
        </w:rPr>
        <w:t>cloud based</w:t>
      </w:r>
      <w:r w:rsidRPr="00152D99">
        <w:rPr>
          <w:rFonts w:ascii="Times New Roman" w:hAnsi="Times New Roman" w:cs="Times New Roman"/>
          <w:sz w:val="20"/>
          <w:szCs w:val="20"/>
        </w:rPr>
        <w:t xml:space="preserve"> </w:t>
      </w:r>
      <w:proofErr w:type="spellStart"/>
      <w:r w:rsidRPr="00152D99">
        <w:rPr>
          <w:rFonts w:ascii="Times New Roman" w:hAnsi="Times New Roman" w:cs="Times New Roman"/>
          <w:sz w:val="20"/>
          <w:szCs w:val="20"/>
        </w:rPr>
        <w:t>MyMarble</w:t>
      </w:r>
      <w:proofErr w:type="spellEnd"/>
      <w:r w:rsidRPr="00152D99">
        <w:rPr>
          <w:rFonts w:ascii="Times New Roman" w:hAnsi="Times New Roman" w:cs="Times New Roman"/>
          <w:sz w:val="20"/>
          <w:szCs w:val="20"/>
        </w:rPr>
        <w:t xml:space="preserve"> Platform is an online personal </w:t>
      </w:r>
      <w:r w:rsidRPr="00990F2C">
        <w:rPr>
          <w:rFonts w:ascii="Times New Roman" w:hAnsi="Times New Roman" w:cs="Times New Roman"/>
          <w:sz w:val="20"/>
          <w:szCs w:val="20"/>
        </w:rPr>
        <w:t>finance platform</w:t>
      </w:r>
      <w:r w:rsidRPr="00152D99">
        <w:rPr>
          <w:rFonts w:ascii="Times New Roman" w:hAnsi="Times New Roman" w:cs="Times New Roman"/>
          <w:sz w:val="20"/>
          <w:szCs w:val="20"/>
        </w:rPr>
        <w:t xml:space="preserve"> that provides consumers with the ability to build a positive credit report and credit score, gain specific and</w:t>
      </w:r>
      <w:r w:rsidR="00E2257D">
        <w:rPr>
          <w:rFonts w:ascii="Times New Roman" w:hAnsi="Times New Roman" w:cs="Times New Roman"/>
          <w:sz w:val="20"/>
          <w:szCs w:val="20"/>
        </w:rPr>
        <w:t xml:space="preserve"> </w:t>
      </w:r>
      <w:r w:rsidRPr="00990F2C">
        <w:rPr>
          <w:rFonts w:ascii="Times New Roman" w:hAnsi="Times New Roman" w:cs="Times New Roman"/>
          <w:sz w:val="20"/>
          <w:szCs w:val="20"/>
        </w:rPr>
        <w:t>unique budgetary and</w:t>
      </w:r>
      <w:r w:rsidRPr="00152D99">
        <w:rPr>
          <w:rFonts w:ascii="Times New Roman" w:hAnsi="Times New Roman" w:cs="Times New Roman"/>
          <w:sz w:val="20"/>
          <w:szCs w:val="20"/>
        </w:rPr>
        <w:t xml:space="preserve"> credit insights with access to financial education and literacy, through Marble</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s c</w:t>
      </w:r>
      <w:r w:rsidRPr="00152D99">
        <w:rPr>
          <w:rFonts w:ascii="Times New Roman" w:hAnsi="Times New Roman" w:cs="Times New Roman"/>
          <w:sz w:val="20"/>
          <w:szCs w:val="20"/>
        </w:rPr>
        <w:t xml:space="preserve">urrent products: Score-Up, </w:t>
      </w:r>
      <w:r w:rsidR="007B23C0" w:rsidRPr="00152D99">
        <w:rPr>
          <w:rFonts w:ascii="Times New Roman" w:hAnsi="Times New Roman" w:cs="Times New Roman"/>
          <w:sz w:val="20"/>
          <w:szCs w:val="20"/>
        </w:rPr>
        <w:t>M</w:t>
      </w:r>
      <w:r w:rsidR="007B23C0">
        <w:rPr>
          <w:rFonts w:ascii="Times New Roman" w:hAnsi="Times New Roman" w:cs="Times New Roman"/>
          <w:sz w:val="20"/>
          <w:szCs w:val="20"/>
        </w:rPr>
        <w:t>arble Learn</w:t>
      </w:r>
      <w:r w:rsidR="00E21DA8">
        <w:rPr>
          <w:rFonts w:ascii="Times New Roman" w:hAnsi="Times New Roman" w:cs="Times New Roman"/>
          <w:sz w:val="20"/>
          <w:szCs w:val="20"/>
        </w:rPr>
        <w:t xml:space="preserve">, </w:t>
      </w:r>
      <w:r w:rsidRPr="00152D99">
        <w:rPr>
          <w:rFonts w:ascii="Times New Roman" w:hAnsi="Times New Roman" w:cs="Times New Roman"/>
          <w:sz w:val="20"/>
          <w:szCs w:val="20"/>
        </w:rPr>
        <w:t>Fast-</w:t>
      </w:r>
      <w:r w:rsidRPr="00152D99">
        <w:rPr>
          <w:rFonts w:ascii="Times New Roman" w:hAnsi="Times New Roman" w:cs="Times New Roman" w:hint="eastAsia"/>
          <w:sz w:val="20"/>
          <w:szCs w:val="20"/>
        </w:rPr>
        <w:t>Track</w:t>
      </w:r>
      <w:r w:rsidR="00E21DA8">
        <w:rPr>
          <w:rFonts w:ascii="Times New Roman" w:hAnsi="Times New Roman" w:cs="Times New Roman"/>
          <w:sz w:val="20"/>
          <w:szCs w:val="20"/>
        </w:rPr>
        <w:t xml:space="preserve"> and </w:t>
      </w:r>
      <w:r w:rsidR="00E21DA8" w:rsidRPr="00E21DA8">
        <w:rPr>
          <w:rFonts w:ascii="Times New Roman" w:hAnsi="Times New Roman" w:cs="Times New Roman"/>
          <w:sz w:val="20"/>
          <w:szCs w:val="20"/>
        </w:rPr>
        <w:t>The Secured Future Credit Plan</w:t>
      </w:r>
      <w:r>
        <w:rPr>
          <w:rFonts w:ascii="Times New Roman" w:hAnsi="Times New Roman" w:cs="Times New Roman"/>
          <w:sz w:val="20"/>
          <w:szCs w:val="20"/>
        </w:rPr>
        <w:t>.</w:t>
      </w:r>
    </w:p>
    <w:p w14:paraId="64EB11FF" w14:textId="77777777" w:rsidR="00193207" w:rsidRPr="00152D99" w:rsidRDefault="00193207" w:rsidP="00193207">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 xml:space="preserve"> </w:t>
      </w:r>
    </w:p>
    <w:p w14:paraId="4C1F309B" w14:textId="7946785D" w:rsidR="00264753" w:rsidRDefault="00264753" w:rsidP="00193207">
      <w:pPr>
        <w:spacing w:after="0" w:line="240" w:lineRule="auto"/>
        <w:jc w:val="both"/>
        <w:rPr>
          <w:rFonts w:ascii="Times New Roman" w:hAnsi="Times New Roman" w:cs="Times New Roman"/>
          <w:sz w:val="20"/>
          <w:szCs w:val="20"/>
        </w:rPr>
      </w:pPr>
      <w:r w:rsidRPr="00264753">
        <w:rPr>
          <w:rFonts w:ascii="Times New Roman" w:hAnsi="Times New Roman" w:cs="Times New Roman"/>
          <w:sz w:val="20"/>
          <w:szCs w:val="20"/>
        </w:rPr>
        <w:t xml:space="preserve">On April 12, 2021, the Company acquired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Verification Inc.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a Canadian open banking and consumer-directed finance provider offering banking verification solutions to the financial services industry for income verification, credit decisioning, fraud reduction, and know-your client/anti-money laundering purposes.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operates a cloud-based SaaS platform such that its technology solutions can be integrated into customer systems.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operates as a standalone division of the Company and offers its products and services outside of the </w:t>
      </w:r>
      <w:proofErr w:type="spellStart"/>
      <w:r w:rsidRPr="00264753">
        <w:rPr>
          <w:rFonts w:ascii="Times New Roman" w:hAnsi="Times New Roman" w:cs="Times New Roman"/>
          <w:sz w:val="20"/>
          <w:szCs w:val="20"/>
        </w:rPr>
        <w:t>MyMarble</w:t>
      </w:r>
      <w:proofErr w:type="spellEnd"/>
      <w:r w:rsidRPr="00264753">
        <w:rPr>
          <w:rFonts w:ascii="Times New Roman" w:hAnsi="Times New Roman" w:cs="Times New Roman"/>
          <w:sz w:val="20"/>
          <w:szCs w:val="20"/>
        </w:rPr>
        <w:t xml:space="preserve"> Platform.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currently offers three SaaS services to customers, namely, Bank Verification, ID Verification and Risk Scoring.  The Company offers multiple application programming interfaces (“APIs”) to access up to one year of user financial data in seconds for its bank verification service and has plugins available for most popular e-Commerce platforms, including WooCommerce and Shopify.  Prior to acquiring </w:t>
      </w:r>
      <w:proofErr w:type="spellStart"/>
      <w:r w:rsidRPr="00264753">
        <w:rPr>
          <w:rFonts w:ascii="Times New Roman" w:hAnsi="Times New Roman" w:cs="Times New Roman"/>
          <w:sz w:val="20"/>
          <w:szCs w:val="20"/>
        </w:rPr>
        <w:t>Inverite</w:t>
      </w:r>
      <w:proofErr w:type="spellEnd"/>
      <w:r w:rsidRPr="00264753">
        <w:rPr>
          <w:rFonts w:ascii="Times New Roman" w:hAnsi="Times New Roman" w:cs="Times New Roman"/>
          <w:sz w:val="20"/>
          <w:szCs w:val="20"/>
        </w:rPr>
        <w:t xml:space="preserve">, Marble was a </w:t>
      </w:r>
      <w:r w:rsidRPr="00264753">
        <w:rPr>
          <w:rFonts w:ascii="Times New Roman" w:hAnsi="Times New Roman" w:cs="Times New Roman"/>
          <w:sz w:val="20"/>
          <w:szCs w:val="20"/>
        </w:rPr>
        <w:lastRenderedPageBreak/>
        <w:t xml:space="preserve">customer using </w:t>
      </w:r>
      <w:proofErr w:type="spellStart"/>
      <w:r w:rsidRPr="00264753">
        <w:rPr>
          <w:rFonts w:ascii="Times New Roman" w:hAnsi="Times New Roman" w:cs="Times New Roman"/>
          <w:sz w:val="20"/>
          <w:szCs w:val="20"/>
        </w:rPr>
        <w:t>Inverite’s</w:t>
      </w:r>
      <w:proofErr w:type="spellEnd"/>
      <w:r w:rsidRPr="00264753">
        <w:rPr>
          <w:rFonts w:ascii="Times New Roman" w:hAnsi="Times New Roman" w:cs="Times New Roman"/>
          <w:sz w:val="20"/>
          <w:szCs w:val="20"/>
        </w:rPr>
        <w:t xml:space="preserve"> SaaS technology specifically for its data aggregation and verification functionality for its Fast-Track loan approval process and Score-Up credit rebuilding. </w:t>
      </w:r>
    </w:p>
    <w:p w14:paraId="6E7F870D" w14:textId="77777777" w:rsidR="00264753" w:rsidRDefault="00264753" w:rsidP="00193207">
      <w:pPr>
        <w:spacing w:after="0" w:line="240" w:lineRule="auto"/>
        <w:jc w:val="both"/>
        <w:rPr>
          <w:rFonts w:ascii="Times New Roman" w:hAnsi="Times New Roman" w:cs="Times New Roman"/>
          <w:sz w:val="20"/>
          <w:szCs w:val="20"/>
        </w:rPr>
      </w:pPr>
    </w:p>
    <w:p w14:paraId="291E57C7" w14:textId="0214CBF7" w:rsidR="00193207" w:rsidRPr="00152D99" w:rsidRDefault="00193207" w:rsidP="00193207">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 xml:space="preserve">Marble has focused on four key strategies, namely: increasing its product offerings, further developing the </w:t>
      </w:r>
      <w:proofErr w:type="spellStart"/>
      <w:r w:rsidRPr="00152D99">
        <w:rPr>
          <w:rFonts w:ascii="Times New Roman" w:hAnsi="Times New Roman" w:cs="Times New Roman"/>
          <w:sz w:val="20"/>
          <w:szCs w:val="20"/>
        </w:rPr>
        <w:t>MyMarble</w:t>
      </w:r>
      <w:proofErr w:type="spellEnd"/>
      <w:r w:rsidRPr="00152D99">
        <w:rPr>
          <w:rFonts w:ascii="Times New Roman" w:hAnsi="Times New Roman" w:cs="Times New Roman"/>
          <w:sz w:val="20"/>
          <w:szCs w:val="20"/>
        </w:rPr>
        <w:t xml:space="preserve"> Platform, utilizing data science and machine learning infrastructure, and </w:t>
      </w:r>
      <w:proofErr w:type="gramStart"/>
      <w:r w:rsidR="00FE02C0">
        <w:rPr>
          <w:rFonts w:ascii="Times New Roman" w:hAnsi="Times New Roman" w:cs="Times New Roman"/>
          <w:sz w:val="20"/>
          <w:szCs w:val="20"/>
        </w:rPr>
        <w:t>entering into</w:t>
      </w:r>
      <w:proofErr w:type="gramEnd"/>
      <w:r w:rsidR="00FE02C0" w:rsidRPr="00152D99">
        <w:rPr>
          <w:rFonts w:ascii="Times New Roman" w:hAnsi="Times New Roman" w:cs="Times New Roman"/>
          <w:sz w:val="20"/>
          <w:szCs w:val="20"/>
        </w:rPr>
        <w:t xml:space="preserve"> </w:t>
      </w:r>
      <w:r w:rsidR="00FE02C0">
        <w:rPr>
          <w:rFonts w:ascii="Times New Roman" w:hAnsi="Times New Roman" w:cs="Times New Roman"/>
          <w:sz w:val="20"/>
          <w:szCs w:val="20"/>
        </w:rPr>
        <w:t>reseller and referral arrangements</w:t>
      </w:r>
      <w:r w:rsidRPr="00152D99">
        <w:rPr>
          <w:rFonts w:ascii="Times New Roman" w:hAnsi="Times New Roman" w:cs="Times New Roman"/>
          <w:sz w:val="20"/>
          <w:szCs w:val="20"/>
        </w:rPr>
        <w:t xml:space="preserve"> with other financial services firms.  </w:t>
      </w:r>
    </w:p>
    <w:p w14:paraId="0C1A359A" w14:textId="77777777" w:rsidR="00193207" w:rsidRPr="00943E43" w:rsidRDefault="00193207" w:rsidP="00193207">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w:t>
      </w:r>
    </w:p>
    <w:p w14:paraId="64871349" w14:textId="77777777" w:rsidR="00193207" w:rsidRPr="00943E43" w:rsidRDefault="00193207" w:rsidP="001932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Score-Up is</w:t>
      </w:r>
      <w:r w:rsidRPr="00943E43">
        <w:rPr>
          <w:rFonts w:ascii="Times New Roman" w:hAnsi="Times New Roman" w:cs="Times New Roman"/>
          <w:sz w:val="20"/>
          <w:szCs w:val="20"/>
        </w:rPr>
        <w:t xml:space="preserve"> a proprietary </w:t>
      </w:r>
      <w:r>
        <w:rPr>
          <w:rFonts w:ascii="Times New Roman" w:hAnsi="Times New Roman" w:cs="Times New Roman"/>
          <w:sz w:val="20"/>
          <w:szCs w:val="20"/>
        </w:rPr>
        <w:t>a</w:t>
      </w:r>
      <w:r w:rsidRPr="00943E43">
        <w:rPr>
          <w:rFonts w:ascii="Times New Roman" w:hAnsi="Times New Roman" w:cs="Times New Roman"/>
          <w:sz w:val="20"/>
          <w:szCs w:val="20"/>
        </w:rPr>
        <w:t>rtificial </w:t>
      </w:r>
      <w:r>
        <w:rPr>
          <w:rFonts w:ascii="Times New Roman" w:hAnsi="Times New Roman" w:cs="Times New Roman"/>
          <w:sz w:val="20"/>
          <w:szCs w:val="20"/>
        </w:rPr>
        <w:t>i</w:t>
      </w:r>
      <w:r w:rsidRPr="00943E43">
        <w:rPr>
          <w:rFonts w:ascii="Times New Roman" w:hAnsi="Times New Roman" w:cs="Times New Roman"/>
          <w:sz w:val="20"/>
          <w:szCs w:val="20"/>
        </w:rPr>
        <w:t>ntelligence software that employs rigorous scientific, mathematical credit weight algorithms, analyzing an individual's credit data, financial information, and behavioral patterns to identify where the greatest positive impact can be achieved on a specific credit file. The software assesses an electronic version of the consumer's credit report and furnishes specific recommendations to improve credit scores to achieve the desired score needed for credit approval and wellness. </w:t>
      </w:r>
    </w:p>
    <w:p w14:paraId="2CFBB628" w14:textId="77777777" w:rsidR="00193207" w:rsidRPr="00943E43" w:rsidRDefault="00193207" w:rsidP="00193207">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w:t>
      </w:r>
    </w:p>
    <w:p w14:paraId="4F87DFD1" w14:textId="059DFAB6" w:rsidR="00193207" w:rsidRPr="00943E43" w:rsidRDefault="007B23C0" w:rsidP="001932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Marble Learn</w:t>
      </w:r>
      <w:r w:rsidR="00193207" w:rsidRPr="00943E43">
        <w:rPr>
          <w:rFonts w:ascii="Times New Roman" w:hAnsi="Times New Roman" w:cs="Times New Roman"/>
          <w:sz w:val="20"/>
          <w:szCs w:val="20"/>
        </w:rPr>
        <w:t xml:space="preserve"> combines expert-curated educational content and skill testing quizzes to give Canadians the power to have both a foundation in crucial financial knowledge and the empowerment to effectively utilize Marble's personal finance and credit rebuilding platform, </w:t>
      </w:r>
      <w:proofErr w:type="spellStart"/>
      <w:r w:rsidR="00193207" w:rsidRPr="00943E43">
        <w:rPr>
          <w:rFonts w:ascii="Times New Roman" w:hAnsi="Times New Roman" w:cs="Times New Roman"/>
          <w:sz w:val="20"/>
          <w:szCs w:val="20"/>
        </w:rPr>
        <w:t>MyMarble</w:t>
      </w:r>
      <w:proofErr w:type="spellEnd"/>
      <w:r w:rsidR="00193207" w:rsidRPr="00943E43">
        <w:rPr>
          <w:rFonts w:ascii="Times New Roman" w:hAnsi="Times New Roman" w:cs="Times New Roman"/>
          <w:sz w:val="20"/>
          <w:szCs w:val="20"/>
        </w:rPr>
        <w:t xml:space="preserve"> and its current products, Score-Up, and Fast-Track. </w:t>
      </w:r>
      <w:r>
        <w:rPr>
          <w:rFonts w:ascii="Times New Roman" w:hAnsi="Times New Roman" w:cs="Times New Roman"/>
          <w:sz w:val="20"/>
          <w:szCs w:val="20"/>
        </w:rPr>
        <w:t>Marble Learn</w:t>
      </w:r>
      <w:r w:rsidR="00193207" w:rsidRPr="00943E43">
        <w:rPr>
          <w:rFonts w:ascii="Times New Roman" w:hAnsi="Times New Roman" w:cs="Times New Roman"/>
          <w:sz w:val="20"/>
          <w:szCs w:val="20"/>
        </w:rPr>
        <w:t xml:space="preserve"> users will benefit from over 30 different courses across three core financial foundations, credit, budget, and debt management. </w:t>
      </w:r>
    </w:p>
    <w:p w14:paraId="2AA2331D" w14:textId="77777777" w:rsidR="00193207" w:rsidRPr="00943E43" w:rsidRDefault="00193207" w:rsidP="00193207">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w:t>
      </w:r>
    </w:p>
    <w:p w14:paraId="2B8F9F60" w14:textId="77777777" w:rsidR="00193207" w:rsidRDefault="00193207" w:rsidP="00193207">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xml:space="preserve">Marble’s Fast-Track credit acceleration product caters to individuals whose poor credit rating makes it difficult to access traditional sources of financing through banks, credit unions and trusts companies due to an insolvency event. Fast-Track focuses, specifically, on customers who have completed a government regulated debt settlement process by filing a consumer proposal (“Consumer Proposal”) through a Licensed Insolvency Trustee (“LIT”) to settle their debt obligations and are interested in a proactive credit rebuilding strategy </w:t>
      </w:r>
      <w:proofErr w:type="gramStart"/>
      <w:r w:rsidRPr="00943E43">
        <w:rPr>
          <w:rFonts w:ascii="Times New Roman" w:hAnsi="Times New Roman" w:cs="Times New Roman"/>
          <w:sz w:val="20"/>
          <w:szCs w:val="20"/>
        </w:rPr>
        <w:t>in order to</w:t>
      </w:r>
      <w:proofErr w:type="gramEnd"/>
      <w:r w:rsidRPr="00943E43">
        <w:rPr>
          <w:rFonts w:ascii="Times New Roman" w:hAnsi="Times New Roman" w:cs="Times New Roman"/>
          <w:sz w:val="20"/>
          <w:szCs w:val="20"/>
        </w:rPr>
        <w:t xml:space="preserve"> return to an industry standard credit score on their credit report.  </w:t>
      </w:r>
    </w:p>
    <w:p w14:paraId="3FE1F66C" w14:textId="7BAA406F" w:rsidR="00193207" w:rsidRDefault="00193207" w:rsidP="00193207">
      <w:pPr>
        <w:spacing w:after="0" w:line="240" w:lineRule="auto"/>
        <w:jc w:val="both"/>
        <w:rPr>
          <w:rFonts w:ascii="Times New Roman" w:hAnsi="Times New Roman" w:cs="Times New Roman"/>
          <w:sz w:val="20"/>
          <w:szCs w:val="20"/>
        </w:rPr>
      </w:pPr>
    </w:p>
    <w:p w14:paraId="4D76E4B3" w14:textId="38A0091E" w:rsidR="00FE02C0" w:rsidRDefault="005C3AB3" w:rsidP="00193207">
      <w:pPr>
        <w:spacing w:after="0" w:line="240" w:lineRule="auto"/>
        <w:jc w:val="both"/>
        <w:rPr>
          <w:rFonts w:ascii="Times New Roman" w:hAnsi="Times New Roman" w:cs="Times New Roman"/>
          <w:sz w:val="20"/>
          <w:szCs w:val="20"/>
        </w:rPr>
      </w:pPr>
      <w:r w:rsidRPr="005C3AB3">
        <w:rPr>
          <w:rFonts w:ascii="Times New Roman" w:hAnsi="Times New Roman" w:cs="Times New Roman"/>
          <w:sz w:val="20"/>
          <w:szCs w:val="20"/>
        </w:rPr>
        <w:t xml:space="preserve">The Secured Future Credit Plan is a combined savings program and credit-building tool that is made available to Marble’s customers.  The Company offers Jenson Graf Risk Management Inc.’s (“Jenson’s”) GIC Savings Loan product on its </w:t>
      </w:r>
      <w:proofErr w:type="spellStart"/>
      <w:r w:rsidRPr="005C3AB3">
        <w:rPr>
          <w:rFonts w:ascii="Times New Roman" w:hAnsi="Times New Roman" w:cs="Times New Roman"/>
          <w:sz w:val="20"/>
          <w:szCs w:val="20"/>
        </w:rPr>
        <w:t>MyMarble</w:t>
      </w:r>
      <w:proofErr w:type="spellEnd"/>
      <w:r w:rsidRPr="005C3AB3">
        <w:rPr>
          <w:rFonts w:ascii="Times New Roman" w:hAnsi="Times New Roman" w:cs="Times New Roman"/>
          <w:sz w:val="20"/>
          <w:szCs w:val="20"/>
        </w:rPr>
        <w:t xml:space="preserve"> Platform and utilizes Marble’s application flow, </w:t>
      </w:r>
      <w:proofErr w:type="spellStart"/>
      <w:r w:rsidRPr="005C3AB3">
        <w:rPr>
          <w:rFonts w:ascii="Times New Roman" w:hAnsi="Times New Roman" w:cs="Times New Roman"/>
          <w:sz w:val="20"/>
          <w:szCs w:val="20"/>
        </w:rPr>
        <w:t>Inverite</w:t>
      </w:r>
      <w:proofErr w:type="spellEnd"/>
      <w:r w:rsidRPr="005C3AB3">
        <w:rPr>
          <w:rFonts w:ascii="Times New Roman" w:hAnsi="Times New Roman" w:cs="Times New Roman"/>
          <w:sz w:val="20"/>
          <w:szCs w:val="20"/>
        </w:rPr>
        <w:t xml:space="preserve"> adjudication, and provides the opportunity to Jenson to approve or decline on the Affiliate portal.  Post funding, the Affiliate portal provides insights to Jenson. By utilizing this product, it provides underserved and credit-constrained consumers with the opportunity to obtain a new trade line structured as a secured loan, with each payment made by the consumer reported to the credit bureaus to help build credit. By making monthly payments, consumers are contributing towards building their credit and establishing a savings account for future use. The Company will receive a referral fee from Jenson for each application processed.  No loan funding is provided </w:t>
      </w:r>
      <w:r w:rsidR="007B23C0">
        <w:rPr>
          <w:rFonts w:ascii="Times New Roman" w:hAnsi="Times New Roman" w:cs="Times New Roman"/>
          <w:sz w:val="20"/>
          <w:szCs w:val="20"/>
        </w:rPr>
        <w:t xml:space="preserve">by the Company </w:t>
      </w:r>
      <w:r w:rsidRPr="005C3AB3">
        <w:rPr>
          <w:rFonts w:ascii="Times New Roman" w:hAnsi="Times New Roman" w:cs="Times New Roman"/>
          <w:sz w:val="20"/>
          <w:szCs w:val="20"/>
        </w:rPr>
        <w:t>to clients.</w:t>
      </w:r>
    </w:p>
    <w:p w14:paraId="111D12B4" w14:textId="77777777" w:rsidR="00FE02C0" w:rsidRDefault="00FE02C0" w:rsidP="00193207">
      <w:pPr>
        <w:spacing w:after="0" w:line="240" w:lineRule="auto"/>
        <w:jc w:val="both"/>
        <w:rPr>
          <w:rFonts w:ascii="Times New Roman" w:hAnsi="Times New Roman" w:cs="Times New Roman"/>
          <w:sz w:val="20"/>
          <w:szCs w:val="20"/>
        </w:rPr>
      </w:pPr>
    </w:p>
    <w:p w14:paraId="5AB77130" w14:textId="32DDCF9E" w:rsidR="00193207" w:rsidRPr="00152D99" w:rsidRDefault="00193207" w:rsidP="00193207">
      <w:pPr>
        <w:tabs>
          <w:tab w:val="left" w:pos="8384"/>
          <w:tab w:val="left" w:pos="9439"/>
        </w:tabs>
        <w:spacing w:after="0" w:line="230" w:lineRule="exact"/>
        <w:ind w:right="4"/>
        <w:jc w:val="both"/>
        <w:rPr>
          <w:rFonts w:ascii="Times New Roman" w:hAnsi="Times New Roman" w:cs="Times New Roman"/>
          <w:sz w:val="20"/>
          <w:szCs w:val="20"/>
        </w:rPr>
      </w:pPr>
      <w:r w:rsidRPr="00152D99">
        <w:rPr>
          <w:rFonts w:ascii="Times New Roman" w:hAnsi="Times New Roman" w:cs="Times New Roman"/>
          <w:sz w:val="20"/>
          <w:szCs w:val="20"/>
        </w:rPr>
        <w:t xml:space="preserve">Even  before  the  onset  of  the  COVID-19  pandemic  in  March  2020,  almost  one-half  of  Canadians  were living </w:t>
      </w:r>
      <w:proofErr w:type="spellStart"/>
      <w:r w:rsidRPr="00152D99">
        <w:rPr>
          <w:rFonts w:ascii="Times New Roman" w:hAnsi="Times New Roman" w:cs="Times New Roman"/>
          <w:sz w:val="20"/>
          <w:szCs w:val="20"/>
        </w:rPr>
        <w:t>paycheque</w:t>
      </w:r>
      <w:proofErr w:type="spellEnd"/>
      <w:r w:rsidRPr="00152D99">
        <w:rPr>
          <w:rFonts w:ascii="Times New Roman" w:hAnsi="Times New Roman" w:cs="Times New Roman"/>
          <w:sz w:val="20"/>
          <w:szCs w:val="20"/>
        </w:rPr>
        <w:t xml:space="preserve"> to </w:t>
      </w:r>
      <w:proofErr w:type="spellStart"/>
      <w:r w:rsidRPr="00152D99">
        <w:rPr>
          <w:rFonts w:ascii="Times New Roman" w:hAnsi="Times New Roman" w:cs="Times New Roman"/>
          <w:sz w:val="20"/>
          <w:szCs w:val="20"/>
        </w:rPr>
        <w:t>paycheque</w:t>
      </w:r>
      <w:proofErr w:type="spellEnd"/>
      <w:r w:rsidRPr="00152D99">
        <w:rPr>
          <w:rFonts w:ascii="Times New Roman" w:hAnsi="Times New Roman" w:cs="Times New Roman"/>
          <w:sz w:val="20"/>
          <w:szCs w:val="20"/>
        </w:rPr>
        <w:t>, as noted in the BDA Canada Affordability Index 2019 (</w:t>
      </w:r>
      <w:hyperlink r:id="rId11" w:history="1">
        <w:r w:rsidRPr="00152D99">
          <w:rPr>
            <w:rFonts w:ascii="Times New Roman" w:hAnsi="Times New Roman" w:cs="Times New Roman"/>
            <w:sz w:val="20"/>
            <w:szCs w:val="20"/>
          </w:rPr>
          <w:t>https://debtsolutions.bdo.ca/our-</w:t>
        </w:r>
      </w:hyperlink>
      <w:r w:rsidRPr="00152D99">
        <w:rPr>
          <w:rFonts w:ascii="Times New Roman" w:hAnsi="Times New Roman" w:cs="Times New Roman"/>
          <w:sz w:val="20"/>
          <w:szCs w:val="20"/>
        </w:rPr>
        <w:t xml:space="preserve"> </w:t>
      </w:r>
      <w:hyperlink r:id="rId12" w:history="1">
        <w:r w:rsidRPr="00152D99">
          <w:rPr>
            <w:rFonts w:ascii="Times New Roman" w:hAnsi="Times New Roman" w:cs="Times New Roman"/>
            <w:sz w:val="20"/>
            <w:szCs w:val="20"/>
          </w:rPr>
          <w:t>people/bdo-in-the-news/bdo-canada-affordability-index-2019-2/</w:t>
        </w:r>
      </w:hyperlink>
      <w:r w:rsidRPr="00152D99">
        <w:rPr>
          <w:rFonts w:ascii="Times New Roman" w:hAnsi="Times New Roman" w:cs="Times New Roman"/>
          <w:sz w:val="20"/>
          <w:szCs w:val="20"/>
        </w:rPr>
        <w:t>). On January 18, 2021, MNP L</w:t>
      </w:r>
      <w:r>
        <w:rPr>
          <w:rFonts w:ascii="Times New Roman" w:hAnsi="Times New Roman" w:cs="Times New Roman"/>
          <w:sz w:val="20"/>
          <w:szCs w:val="20"/>
        </w:rPr>
        <w:t>td</w:t>
      </w:r>
      <w:r w:rsidRPr="00152D99">
        <w:rPr>
          <w:rFonts w:ascii="Times New Roman" w:hAnsi="Times New Roman" w:cs="Times New Roman"/>
          <w:sz w:val="20"/>
          <w:szCs w:val="20"/>
        </w:rPr>
        <w:t xml:space="preserve">. announced the results of its quarterly consumer debt index </w:t>
      </w:r>
      <w:r w:rsidRPr="00152D99">
        <w:rPr>
          <w:rFonts w:ascii="Times New Roman" w:hAnsi="Times New Roman" w:cs="Times New Roman" w:hint="eastAsia"/>
          <w:sz w:val="20"/>
          <w:szCs w:val="20"/>
        </w:rPr>
        <w:t>(the</w:t>
      </w:r>
      <w:r>
        <w:rPr>
          <w:rFonts w:ascii="Times New Roman" w:eastAsia="MS Mincho" w:hAnsi="Times New Roman" w:cs="Times New Roman" w:hint="eastAsia"/>
          <w:sz w:val="20"/>
          <w:szCs w:val="20"/>
        </w:rPr>
        <w:t xml:space="preserve"> </w:t>
      </w:r>
      <w:r>
        <w:rPr>
          <w:rFonts w:ascii="Times New Roman" w:eastAsia="MS Mincho" w:hAnsi="Times New Roman" w:cs="Times New Roman"/>
          <w:sz w:val="20"/>
          <w:szCs w:val="20"/>
        </w:rPr>
        <w:t>“</w:t>
      </w:r>
      <w:r w:rsidRPr="00152D99">
        <w:rPr>
          <w:rFonts w:ascii="Times New Roman" w:hAnsi="Times New Roman" w:cs="Times New Roman"/>
          <w:sz w:val="20"/>
          <w:szCs w:val="20"/>
        </w:rPr>
        <w:t>Index</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survey conducted by Ipsos on behalf of MNP L</w:t>
      </w:r>
      <w:r>
        <w:rPr>
          <w:rFonts w:ascii="Times New Roman" w:hAnsi="Times New Roman" w:cs="Times New Roman"/>
          <w:sz w:val="20"/>
          <w:szCs w:val="20"/>
        </w:rPr>
        <w:t>td</w:t>
      </w:r>
      <w:r w:rsidRPr="00152D99">
        <w:rPr>
          <w:rFonts w:ascii="Times New Roman" w:hAnsi="Times New Roman" w:cs="Times New Roman"/>
          <w:sz w:val="20"/>
          <w:szCs w:val="20"/>
        </w:rPr>
        <w:t xml:space="preserve">. The </w:t>
      </w:r>
      <w:r w:rsidRPr="00152D99">
        <w:rPr>
          <w:rFonts w:ascii="Times New Roman" w:hAnsi="Times New Roman" w:cs="Times New Roman" w:hint="eastAsia"/>
          <w:sz w:val="20"/>
          <w:szCs w:val="20"/>
        </w:rPr>
        <w:t>Index tracks Canadians</w:t>
      </w:r>
      <w:r w:rsidRPr="00152D99">
        <w:rPr>
          <w:rFonts w:ascii="Times New Roman" w:hAnsi="Times New Roman" w:cs="Times New Roman" w:hint="eastAsia"/>
          <w:sz w:val="20"/>
          <w:szCs w:val="20"/>
        </w:rPr>
        <w:t>’</w:t>
      </w:r>
      <w:r w:rsidRPr="00152D99">
        <w:rPr>
          <w:rFonts w:ascii="Times New Roman" w:hAnsi="Times New Roman" w:cs="Times New Roman" w:hint="eastAsia"/>
          <w:sz w:val="20"/>
          <w:szCs w:val="20"/>
        </w:rPr>
        <w:t xml:space="preserve"> attitudes about their debt and ability to meet their monthly payment obligations</w:t>
      </w:r>
      <w:r w:rsidRPr="00152D99">
        <w:rPr>
          <w:rFonts w:ascii="Times New Roman" w:hAnsi="Times New Roman" w:cs="Times New Roman"/>
          <w:sz w:val="20"/>
          <w:szCs w:val="20"/>
        </w:rPr>
        <w:t xml:space="preserve">. The Index has dropped five points since September 2020 to hit its record low, which is also the largest quarterly decline to </w:t>
      </w:r>
      <w:r w:rsidRPr="00152D99">
        <w:rPr>
          <w:rFonts w:ascii="Times New Roman" w:hAnsi="Times New Roman" w:cs="Times New Roman" w:hint="eastAsia"/>
          <w:sz w:val="20"/>
          <w:szCs w:val="20"/>
        </w:rPr>
        <w:t>date. This has largely been fueled by Canadians</w:t>
      </w:r>
      <w:r w:rsidR="00264753">
        <w:rPr>
          <w:rFonts w:ascii="Times New Roman" w:hAnsi="Times New Roman" w:cs="Times New Roman"/>
          <w:sz w:val="20"/>
          <w:szCs w:val="20"/>
        </w:rPr>
        <w:t xml:space="preserve">’ </w:t>
      </w:r>
      <w:r w:rsidRPr="00152D99">
        <w:rPr>
          <w:rFonts w:ascii="Times New Roman" w:hAnsi="Times New Roman" w:cs="Times New Roman" w:hint="eastAsia"/>
          <w:sz w:val="20"/>
          <w:szCs w:val="20"/>
        </w:rPr>
        <w:t xml:space="preserve">negative perceptions of their personal finances, current household </w:t>
      </w:r>
      <w:r w:rsidRPr="00152D99">
        <w:rPr>
          <w:rFonts w:ascii="Times New Roman" w:hAnsi="Times New Roman" w:cs="Times New Roman"/>
          <w:sz w:val="20"/>
          <w:szCs w:val="20"/>
        </w:rPr>
        <w:t xml:space="preserve">debt levels, and concerns about weathering more unexpected financial setbacks without taking on more debt and impact of the COVID-19 pandemic.  Particularly, four in </w:t>
      </w:r>
      <w:r>
        <w:rPr>
          <w:rFonts w:ascii="Times New Roman" w:hAnsi="Times New Roman" w:cs="Times New Roman"/>
          <w:sz w:val="20"/>
          <w:szCs w:val="20"/>
        </w:rPr>
        <w:t>ten</w:t>
      </w:r>
      <w:r w:rsidRPr="00152D99">
        <w:rPr>
          <w:rFonts w:ascii="Times New Roman" w:hAnsi="Times New Roman" w:cs="Times New Roman"/>
          <w:sz w:val="20"/>
          <w:szCs w:val="20"/>
        </w:rPr>
        <w:t xml:space="preserve"> (43%) Canadians say they are not confident they can cover their living expenses for the next year without going further into debt, a four-point increase from September 2020. Around the same number feel concerned about their current level of debt (42%, +1) or regret the amount of debt they have taken on (45%, -1).(</w:t>
      </w:r>
      <w:hyperlink r:id="rId13" w:history="1">
        <w:r w:rsidRPr="00152D99">
          <w:rPr>
            <w:rFonts w:ascii="Times New Roman" w:hAnsi="Times New Roman" w:cs="Times New Roman"/>
            <w:sz w:val="20"/>
            <w:szCs w:val="20"/>
          </w:rPr>
          <w:t>https://mnpdebt.ca/en/resources/mnp-debt-blog/mnp-consumer-debt-index-</w:t>
        </w:r>
      </w:hyperlink>
      <w:hyperlink r:id="rId14" w:history="1">
        <w:r w:rsidRPr="00152D99">
          <w:rPr>
            <w:rFonts w:ascii="Times New Roman" w:hAnsi="Times New Roman" w:cs="Times New Roman"/>
            <w:sz w:val="20"/>
            <w:szCs w:val="20"/>
          </w:rPr>
          <w:t>reaches-lowest-point-ever</w:t>
        </w:r>
        <w:r>
          <w:rPr>
            <w:rFonts w:ascii="Times New Roman" w:hAnsi="Times New Roman" w:cs="Times New Roman"/>
            <w:sz w:val="20"/>
            <w:szCs w:val="20"/>
          </w:rPr>
          <w:t>-</w:t>
        </w:r>
        <w:r w:rsidRPr="00152D99">
          <w:rPr>
            <w:rFonts w:ascii="Times New Roman" w:hAnsi="Times New Roman" w:cs="Times New Roman"/>
            <w:sz w:val="20"/>
            <w:szCs w:val="20"/>
          </w:rPr>
          <w:t>recorded-as-covid-lockdown-measures-continue</w:t>
        </w:r>
      </w:hyperlink>
      <w:r w:rsidRPr="00152D99">
        <w:rPr>
          <w:rFonts w:ascii="Times New Roman" w:hAnsi="Times New Roman" w:cs="Times New Roman"/>
          <w:sz w:val="20"/>
          <w:szCs w:val="20"/>
        </w:rPr>
        <w:t>). A June 12,</w:t>
      </w:r>
      <w:r>
        <w:rPr>
          <w:rFonts w:ascii="Times New Roman" w:hAnsi="Times New Roman" w:cs="Times New Roman"/>
          <w:sz w:val="20"/>
          <w:szCs w:val="20"/>
        </w:rPr>
        <w:t xml:space="preserve"> </w:t>
      </w:r>
      <w:r w:rsidRPr="00152D99">
        <w:rPr>
          <w:rFonts w:ascii="Times New Roman" w:hAnsi="Times New Roman" w:cs="Times New Roman"/>
          <w:sz w:val="20"/>
          <w:szCs w:val="20"/>
        </w:rPr>
        <w:t>2020 article noted Statistics Canada similarly exposed growing vulnerabilities with an increase in the household credit market debt to household disposable income ratio outlining that Canadians,</w:t>
      </w:r>
      <w:r>
        <w:rPr>
          <w:rFonts w:ascii="Times New Roman" w:hAnsi="Times New Roman" w:cs="Times New Roman"/>
          <w:sz w:val="20"/>
          <w:szCs w:val="20"/>
        </w:rPr>
        <w:t xml:space="preserve"> </w:t>
      </w:r>
      <w:r w:rsidRPr="00152D99">
        <w:rPr>
          <w:rFonts w:ascii="Times New Roman" w:hAnsi="Times New Roman" w:cs="Times New Roman"/>
          <w:sz w:val="20"/>
          <w:szCs w:val="20"/>
        </w:rPr>
        <w:t>on average, owed almost $1.77 for every dollar of disposable income</w:t>
      </w:r>
      <w:r>
        <w:rPr>
          <w:rFonts w:ascii="Times New Roman" w:hAnsi="Times New Roman" w:cs="Times New Roman"/>
          <w:sz w:val="20"/>
          <w:szCs w:val="20"/>
        </w:rPr>
        <w:t xml:space="preserve"> </w:t>
      </w:r>
      <w:r w:rsidRPr="00152D99">
        <w:rPr>
          <w:rFonts w:ascii="Times New Roman" w:hAnsi="Times New Roman" w:cs="Times New Roman"/>
          <w:sz w:val="20"/>
          <w:szCs w:val="20"/>
        </w:rPr>
        <w:t>(</w:t>
      </w:r>
      <w:hyperlink r:id="rId15" w:history="1">
        <w:r w:rsidRPr="00152D99">
          <w:rPr>
            <w:rFonts w:ascii="Times New Roman" w:hAnsi="Times New Roman" w:cs="Times New Roman"/>
            <w:sz w:val="20"/>
            <w:szCs w:val="20"/>
          </w:rPr>
          <w:t>https://www.cbc.ca/news/business/statistics-canada-debt-1.5609510</w:t>
        </w:r>
      </w:hyperlink>
      <w:r w:rsidRPr="00152D99">
        <w:rPr>
          <w:rFonts w:ascii="Times New Roman" w:hAnsi="Times New Roman" w:cs="Times New Roman"/>
          <w:sz w:val="20"/>
          <w:szCs w:val="20"/>
        </w:rPr>
        <w:t>).  The ability to servic</w:t>
      </w:r>
      <w:r>
        <w:rPr>
          <w:rFonts w:ascii="Times New Roman" w:hAnsi="Times New Roman" w:cs="Times New Roman"/>
          <w:sz w:val="20"/>
          <w:szCs w:val="20"/>
        </w:rPr>
        <w:t>e</w:t>
      </w:r>
      <w:r w:rsidRPr="00152D99">
        <w:rPr>
          <w:rFonts w:ascii="Times New Roman" w:hAnsi="Times New Roman" w:cs="Times New Roman"/>
          <w:sz w:val="20"/>
          <w:szCs w:val="20"/>
        </w:rPr>
        <w:t xml:space="preserve"> </w:t>
      </w:r>
      <w:r w:rsidRPr="00152D99">
        <w:rPr>
          <w:rFonts w:ascii="Times New Roman" w:hAnsi="Times New Roman" w:cs="Times New Roman" w:hint="eastAsia"/>
          <w:sz w:val="20"/>
          <w:szCs w:val="20"/>
        </w:rPr>
        <w:t xml:space="preserve">debt affects a </w:t>
      </w:r>
      <w:r w:rsidR="00264753" w:rsidRPr="00152D99">
        <w:rPr>
          <w:rFonts w:ascii="Times New Roman" w:hAnsi="Times New Roman" w:cs="Times New Roman" w:hint="eastAsia"/>
          <w:sz w:val="20"/>
          <w:szCs w:val="20"/>
        </w:rPr>
        <w:t>person</w:t>
      </w:r>
      <w:r w:rsidR="00264753">
        <w:rPr>
          <w:rFonts w:ascii="Times New Roman" w:eastAsia="MS Mincho" w:hAnsi="Times New Roman" w:cs="Times New Roman"/>
          <w:sz w:val="20"/>
          <w:szCs w:val="20"/>
        </w:rPr>
        <w:t>’</w:t>
      </w:r>
      <w:r w:rsidR="00264753" w:rsidRPr="00152D99">
        <w:rPr>
          <w:rFonts w:ascii="Times New Roman" w:hAnsi="Times New Roman" w:cs="Times New Roman" w:hint="eastAsia"/>
          <w:sz w:val="20"/>
          <w:szCs w:val="20"/>
        </w:rPr>
        <w:t xml:space="preserve">s </w:t>
      </w:r>
      <w:r w:rsidRPr="00152D99">
        <w:rPr>
          <w:rFonts w:ascii="Times New Roman" w:hAnsi="Times New Roman" w:cs="Times New Roman" w:hint="eastAsia"/>
          <w:sz w:val="20"/>
          <w:szCs w:val="20"/>
        </w:rPr>
        <w:t xml:space="preserve">credit score, which may affect their ability to obtain credit from traditional sources. </w:t>
      </w:r>
      <w:r w:rsidRPr="00152D99">
        <w:rPr>
          <w:rFonts w:ascii="Times New Roman" w:hAnsi="Times New Roman" w:cs="Times New Roman"/>
          <w:sz w:val="20"/>
          <w:szCs w:val="20"/>
        </w:rPr>
        <w:t xml:space="preserve">The Company believes there is a large market of underserved Canadians needing to rebuild and/or improve their financial credit worthiness, especially with the uncertain economic climate resulting from the COVID-19 pandemic.  </w:t>
      </w:r>
    </w:p>
    <w:p w14:paraId="4A7E241D" w14:textId="77777777" w:rsidR="00193207" w:rsidRPr="00943E43" w:rsidRDefault="00193207" w:rsidP="00193207">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w:t>
      </w:r>
    </w:p>
    <w:p w14:paraId="643C5908" w14:textId="77777777" w:rsidR="00193207" w:rsidRPr="00152D99" w:rsidRDefault="00193207" w:rsidP="00193207">
      <w:pPr>
        <w:spacing w:after="0" w:line="240" w:lineRule="auto"/>
        <w:jc w:val="both"/>
        <w:rPr>
          <w:rFonts w:ascii="Times New Roman" w:hAnsi="Times New Roman" w:cs="Times New Roman"/>
          <w:sz w:val="20"/>
          <w:szCs w:val="20"/>
        </w:rPr>
      </w:pPr>
      <w:r w:rsidRPr="00F06677">
        <w:rPr>
          <w:rFonts w:ascii="Times New Roman" w:hAnsi="Times New Roman" w:cs="Times New Roman"/>
          <w:sz w:val="20"/>
          <w:szCs w:val="20"/>
        </w:rPr>
        <w:lastRenderedPageBreak/>
        <w:t>Canada is</w:t>
      </w:r>
      <w:r w:rsidRPr="00152D99">
        <w:rPr>
          <w:rFonts w:ascii="Times New Roman" w:hAnsi="Times New Roman" w:cs="Times New Roman"/>
          <w:sz w:val="20"/>
          <w:szCs w:val="20"/>
        </w:rPr>
        <w:t xml:space="preserve"> a credit-based economy.  Canadians </w:t>
      </w:r>
      <w:r w:rsidRPr="00F06677">
        <w:rPr>
          <w:rFonts w:ascii="Times New Roman" w:hAnsi="Times New Roman" w:cs="Times New Roman"/>
          <w:sz w:val="20"/>
          <w:szCs w:val="20"/>
        </w:rPr>
        <w:t>need access</w:t>
      </w:r>
      <w:r w:rsidRPr="00152D99">
        <w:rPr>
          <w:rFonts w:ascii="Times New Roman" w:hAnsi="Times New Roman" w:cs="Times New Roman"/>
          <w:sz w:val="20"/>
          <w:szCs w:val="20"/>
        </w:rPr>
        <w:t xml:space="preserve"> to credit </w:t>
      </w:r>
      <w:proofErr w:type="gramStart"/>
      <w:r w:rsidRPr="00152D99">
        <w:rPr>
          <w:rFonts w:ascii="Times New Roman" w:hAnsi="Times New Roman" w:cs="Times New Roman"/>
          <w:sz w:val="20"/>
          <w:szCs w:val="20"/>
        </w:rPr>
        <w:t>in order to</w:t>
      </w:r>
      <w:proofErr w:type="gramEnd"/>
      <w:r w:rsidRPr="00152D99">
        <w:rPr>
          <w:rFonts w:ascii="Times New Roman" w:hAnsi="Times New Roman" w:cs="Times New Roman"/>
          <w:sz w:val="20"/>
          <w:szCs w:val="20"/>
        </w:rPr>
        <w:t xml:space="preserve"> manage their daily life and expenses</w:t>
      </w:r>
      <w:r>
        <w:rPr>
          <w:rFonts w:ascii="Times New Roman" w:hAnsi="Times New Roman" w:cs="Times New Roman"/>
          <w:sz w:val="20"/>
          <w:szCs w:val="20"/>
        </w:rPr>
        <w:t>,</w:t>
      </w:r>
      <w:r w:rsidRPr="00152D99">
        <w:rPr>
          <w:rFonts w:ascii="Times New Roman" w:hAnsi="Times New Roman" w:cs="Times New Roman"/>
          <w:sz w:val="20"/>
          <w:szCs w:val="20"/>
        </w:rPr>
        <w:t xml:space="preserve"> </w:t>
      </w:r>
      <w:r>
        <w:rPr>
          <w:rFonts w:ascii="Times New Roman" w:hAnsi="Times New Roman" w:cs="Times New Roman"/>
          <w:sz w:val="20"/>
          <w:szCs w:val="20"/>
        </w:rPr>
        <w:t>b</w:t>
      </w:r>
      <w:r w:rsidRPr="00152D99">
        <w:rPr>
          <w:rFonts w:ascii="Times New Roman" w:hAnsi="Times New Roman" w:cs="Times New Roman"/>
          <w:sz w:val="20"/>
          <w:szCs w:val="20"/>
        </w:rPr>
        <w:t xml:space="preserve">ut many Canadians are marginalized and excluded from </w:t>
      </w:r>
      <w:r w:rsidRPr="00F06677">
        <w:rPr>
          <w:rFonts w:ascii="Times New Roman" w:hAnsi="Times New Roman" w:cs="Times New Roman"/>
          <w:sz w:val="20"/>
          <w:szCs w:val="20"/>
        </w:rPr>
        <w:t>the mainstream</w:t>
      </w:r>
      <w:r w:rsidRPr="00152D99">
        <w:rPr>
          <w:rFonts w:ascii="Times New Roman" w:hAnsi="Times New Roman" w:cs="Times New Roman"/>
          <w:sz w:val="20"/>
          <w:szCs w:val="20"/>
        </w:rPr>
        <w:t xml:space="preserve"> credit system due to the</w:t>
      </w:r>
      <w:r>
        <w:rPr>
          <w:rFonts w:ascii="Times New Roman" w:hAnsi="Times New Roman" w:cs="Times New Roman"/>
          <w:sz w:val="20"/>
          <w:szCs w:val="20"/>
        </w:rPr>
        <w:t>ir</w:t>
      </w:r>
      <w:r w:rsidRPr="00152D99">
        <w:rPr>
          <w:rFonts w:ascii="Times New Roman" w:hAnsi="Times New Roman" w:cs="Times New Roman"/>
          <w:sz w:val="20"/>
          <w:szCs w:val="20"/>
        </w:rPr>
        <w:t xml:space="preserve"> inability to access credit from mainstream financial institutions</w:t>
      </w:r>
      <w:r>
        <w:rPr>
          <w:rFonts w:ascii="Times New Roman" w:hAnsi="Times New Roman" w:cs="Times New Roman"/>
          <w:sz w:val="20"/>
          <w:szCs w:val="20"/>
        </w:rPr>
        <w:t xml:space="preserve">, as a result of their </w:t>
      </w:r>
      <w:r w:rsidRPr="00152D99">
        <w:rPr>
          <w:rFonts w:ascii="Times New Roman" w:hAnsi="Times New Roman" w:cs="Times New Roman"/>
          <w:sz w:val="20"/>
          <w:szCs w:val="20"/>
        </w:rPr>
        <w:t xml:space="preserve">poor credit score and credit report.   </w:t>
      </w:r>
    </w:p>
    <w:p w14:paraId="7A306257" w14:textId="77777777" w:rsidR="00193207" w:rsidRDefault="00193207" w:rsidP="00193207">
      <w:pPr>
        <w:spacing w:after="0" w:line="240" w:lineRule="auto"/>
        <w:jc w:val="both"/>
        <w:rPr>
          <w:rFonts w:ascii="Times New Roman" w:hAnsi="Times New Roman" w:cs="Times New Roman"/>
          <w:sz w:val="20"/>
          <w:szCs w:val="20"/>
        </w:rPr>
      </w:pPr>
    </w:p>
    <w:p w14:paraId="2D39AD07" w14:textId="77777777" w:rsidR="00193207" w:rsidRPr="00847D1E" w:rsidRDefault="00193207" w:rsidP="00193207">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A credit score is an algorithmic determination based on the information contained in a consumer</w:t>
      </w:r>
      <w:r>
        <w:rPr>
          <w:rFonts w:ascii="Times New Roman" w:eastAsia="MS Mincho" w:hAnsi="Times New Roman" w:cs="Times New Roman"/>
          <w:sz w:val="20"/>
          <w:szCs w:val="20"/>
        </w:rPr>
        <w:t>’</w:t>
      </w:r>
      <w:r w:rsidRPr="00152D99">
        <w:rPr>
          <w:rFonts w:ascii="Times New Roman" w:hAnsi="Times New Roman" w:cs="Times New Roman"/>
          <w:sz w:val="20"/>
          <w:szCs w:val="20"/>
        </w:rPr>
        <w:t>s credit report at a particular point in time. If a consumer has established credit with a lender that reports to one of the two credi</w:t>
      </w:r>
      <w:r w:rsidRPr="00847D1E">
        <w:rPr>
          <w:rFonts w:ascii="Times New Roman" w:hAnsi="Times New Roman" w:cs="Times New Roman"/>
          <w:sz w:val="20"/>
          <w:szCs w:val="20"/>
        </w:rPr>
        <w:t>t</w:t>
      </w:r>
      <w:r w:rsidRPr="00152D99">
        <w:rPr>
          <w:rFonts w:ascii="Times New Roman" w:hAnsi="Times New Roman" w:cs="Times New Roman"/>
          <w:sz w:val="20"/>
          <w:szCs w:val="20"/>
        </w:rPr>
        <w:t xml:space="preserve"> bureau agencies in Canada, they will have a credit report on file with either TransUnion of Canada Inc. </w:t>
      </w:r>
      <w:r w:rsidRPr="00152D99">
        <w:rPr>
          <w:rFonts w:ascii="Times New Roman" w:hAnsi="Times New Roman" w:cs="Times New Roman" w:hint="eastAsia"/>
          <w:sz w:val="20"/>
          <w:szCs w:val="20"/>
        </w:rPr>
        <w:t>(</w:t>
      </w:r>
      <w:r>
        <w:rPr>
          <w:rFonts w:ascii="Times New Roman" w:eastAsia="MS Mincho" w:hAnsi="Times New Roman" w:cs="Times New Roman"/>
          <w:sz w:val="20"/>
          <w:szCs w:val="20"/>
        </w:rPr>
        <w:t>“</w:t>
      </w:r>
      <w:r w:rsidRPr="00152D99">
        <w:rPr>
          <w:rFonts w:ascii="Times New Roman" w:hAnsi="Times New Roman" w:cs="Times New Roman"/>
          <w:sz w:val="20"/>
          <w:szCs w:val="20"/>
        </w:rPr>
        <w:t>TransUnion</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Equifax Consumer Canada Co. </w:t>
      </w:r>
      <w:r w:rsidRPr="00152D99">
        <w:rPr>
          <w:rFonts w:ascii="Times New Roman" w:hAnsi="Times New Roman" w:cs="Times New Roman" w:hint="eastAsia"/>
          <w:sz w:val="20"/>
          <w:szCs w:val="20"/>
        </w:rPr>
        <w:t>(</w:t>
      </w:r>
      <w:r>
        <w:rPr>
          <w:rFonts w:ascii="Times New Roman" w:eastAsia="MS Mincho" w:hAnsi="Times New Roman" w:cs="Times New Roman"/>
          <w:sz w:val="20"/>
          <w:szCs w:val="20"/>
        </w:rPr>
        <w:t>“</w:t>
      </w:r>
      <w:r w:rsidRPr="00152D99">
        <w:rPr>
          <w:rFonts w:ascii="Times New Roman" w:hAnsi="Times New Roman" w:cs="Times New Roman"/>
          <w:sz w:val="20"/>
          <w:szCs w:val="20"/>
        </w:rPr>
        <w:t>Equifax</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or both. A credit report is a historical record of how a person managed their credit obligations. This data is then </w:t>
      </w:r>
      <w:r w:rsidRPr="00152D99">
        <w:rPr>
          <w:rFonts w:ascii="Times New Roman" w:hAnsi="Times New Roman" w:cs="Times New Roman" w:hint="eastAsia"/>
          <w:sz w:val="20"/>
          <w:szCs w:val="20"/>
        </w:rPr>
        <w:t>analyzed through the credit reporting agency</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 xml:space="preserve">s </w:t>
      </w:r>
      <w:r w:rsidRPr="00847D1E">
        <w:rPr>
          <w:rFonts w:ascii="Times New Roman" w:hAnsi="Times New Roman" w:cs="Times New Roman"/>
          <w:sz w:val="20"/>
          <w:szCs w:val="20"/>
        </w:rPr>
        <w:t>algorithm to</w:t>
      </w:r>
      <w:r w:rsidRPr="00152D99">
        <w:rPr>
          <w:rFonts w:ascii="Times New Roman" w:hAnsi="Times New Roman" w:cs="Times New Roman"/>
          <w:sz w:val="20"/>
          <w:szCs w:val="20"/>
        </w:rPr>
        <w:t xml:space="preserve"> create </w:t>
      </w:r>
      <w:r w:rsidRPr="00152D99">
        <w:rPr>
          <w:rFonts w:ascii="Times New Roman" w:hAnsi="Times New Roman" w:cs="Times New Roman" w:hint="eastAsia"/>
          <w:sz w:val="20"/>
          <w:szCs w:val="20"/>
        </w:rPr>
        <w:t>a person</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s</w:t>
      </w:r>
      <w:r w:rsidRPr="00152D99">
        <w:rPr>
          <w:rFonts w:ascii="Times New Roman" w:hAnsi="Times New Roman" w:cs="Times New Roman"/>
          <w:sz w:val="20"/>
          <w:szCs w:val="20"/>
        </w:rPr>
        <w:t xml:space="preserve"> individual credit scores.  </w:t>
      </w:r>
    </w:p>
    <w:p w14:paraId="18AF9E1E" w14:textId="77777777" w:rsidR="00193207" w:rsidRPr="00152D99" w:rsidRDefault="00193207" w:rsidP="00193207">
      <w:pPr>
        <w:spacing w:after="0" w:line="240" w:lineRule="auto"/>
        <w:jc w:val="both"/>
        <w:rPr>
          <w:rFonts w:ascii="Times New Roman" w:hAnsi="Times New Roman" w:cs="Times New Roman"/>
          <w:sz w:val="20"/>
          <w:szCs w:val="20"/>
        </w:rPr>
      </w:pPr>
    </w:p>
    <w:p w14:paraId="33E3C364" w14:textId="574BEA77" w:rsidR="00FE02C0" w:rsidRDefault="00193207" w:rsidP="00FC7420">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 xml:space="preserve">Credit scores matter in Canada because the credit system leverages this information in assisting them in the credit approval or </w:t>
      </w:r>
      <w:r w:rsidRPr="00152D99">
        <w:rPr>
          <w:rFonts w:ascii="Times New Roman" w:hAnsi="Times New Roman" w:cs="Times New Roman" w:hint="eastAsia"/>
          <w:sz w:val="20"/>
          <w:szCs w:val="20"/>
        </w:rPr>
        <w:t>decline decisions. The credit score is an assessment of a consumer</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 xml:space="preserve">s risk and creditworthiness. </w:t>
      </w:r>
      <w:r w:rsidRPr="00152D99">
        <w:rPr>
          <w:rFonts w:ascii="Times New Roman" w:hAnsi="Times New Roman" w:cs="Times New Roman"/>
          <w:sz w:val="20"/>
          <w:szCs w:val="20"/>
        </w:rPr>
        <w:t xml:space="preserve">A poor credit score means that less lenders are willing to take a risk on granting credit. Mainstream lenders, such as banks and credit unions that traditionally offer the lowest interest rates are not available to consumers with poor credit. Even if approved, the credit score can also affect the interest rate and payment terms that a consumer can obtain. Non-mainstream lenders who may be willing to grant credit to those with a poor credit score are typically alternative </w:t>
      </w:r>
      <w:r w:rsidRPr="00F06677">
        <w:rPr>
          <w:rFonts w:ascii="Times New Roman" w:hAnsi="Times New Roman" w:cs="Times New Roman"/>
          <w:sz w:val="20"/>
          <w:szCs w:val="20"/>
        </w:rPr>
        <w:t>lenders who</w:t>
      </w:r>
      <w:r w:rsidRPr="00152D99">
        <w:rPr>
          <w:rFonts w:ascii="Times New Roman" w:hAnsi="Times New Roman" w:cs="Times New Roman"/>
          <w:sz w:val="20"/>
          <w:szCs w:val="20"/>
        </w:rPr>
        <w:t xml:space="preserve"> </w:t>
      </w:r>
      <w:r w:rsidRPr="00F06677">
        <w:rPr>
          <w:rFonts w:ascii="Times New Roman" w:hAnsi="Times New Roman" w:cs="Times New Roman"/>
          <w:sz w:val="20"/>
          <w:szCs w:val="20"/>
        </w:rPr>
        <w:t>charge significantly higher</w:t>
      </w:r>
      <w:r w:rsidRPr="00152D99">
        <w:rPr>
          <w:rFonts w:ascii="Times New Roman" w:hAnsi="Times New Roman" w:cs="Times New Roman"/>
          <w:sz w:val="20"/>
          <w:szCs w:val="20"/>
        </w:rPr>
        <w:t xml:space="preserve"> interest rates to compensate them for the risk of granting credit to a consumer that has a history of not being creditworthy. Many Canadians may not even qualify for alternative non- bank lenders; therefore, these consumers may have no option but to look for credit through payday loan companies and pawn brokers that may offer credit but do not report consumer repayments to the credit reporting agencies </w:t>
      </w:r>
      <w:r w:rsidRPr="00F06677">
        <w:rPr>
          <w:rFonts w:ascii="Times New Roman" w:hAnsi="Times New Roman" w:cs="Times New Roman"/>
          <w:sz w:val="20"/>
          <w:szCs w:val="20"/>
        </w:rPr>
        <w:t>in Canada</w:t>
      </w:r>
      <w:r w:rsidRPr="00152D99">
        <w:rPr>
          <w:rFonts w:ascii="Times New Roman" w:hAnsi="Times New Roman" w:cs="Times New Roman"/>
          <w:sz w:val="20"/>
          <w:szCs w:val="20"/>
        </w:rPr>
        <w:t xml:space="preserve">. Without the ability to access credit or report repayment of credit, consumers with poor credit have </w:t>
      </w:r>
      <w:r w:rsidRPr="00F06677">
        <w:rPr>
          <w:rFonts w:ascii="Times New Roman" w:hAnsi="Times New Roman" w:cs="Times New Roman"/>
          <w:sz w:val="20"/>
          <w:szCs w:val="20"/>
        </w:rPr>
        <w:t>limited options</w:t>
      </w:r>
      <w:r w:rsidRPr="00152D99">
        <w:rPr>
          <w:rFonts w:ascii="Times New Roman" w:hAnsi="Times New Roman" w:cs="Times New Roman"/>
          <w:sz w:val="20"/>
          <w:szCs w:val="20"/>
        </w:rPr>
        <w:t xml:space="preserve"> to rebuild credit.  </w:t>
      </w:r>
    </w:p>
    <w:p w14:paraId="77E47A9C" w14:textId="77777777" w:rsidR="00FE02C0" w:rsidRDefault="00FE02C0" w:rsidP="00FC7420">
      <w:pPr>
        <w:spacing w:after="0" w:line="240" w:lineRule="auto"/>
        <w:jc w:val="both"/>
        <w:rPr>
          <w:rFonts w:ascii="Times New Roman" w:hAnsi="Times New Roman" w:cs="Times New Roman"/>
          <w:sz w:val="20"/>
          <w:szCs w:val="20"/>
        </w:rPr>
      </w:pPr>
    </w:p>
    <w:p w14:paraId="3C8B6E7D" w14:textId="55A62394" w:rsidR="00193207" w:rsidRPr="00847D1E" w:rsidRDefault="00193207" w:rsidP="00FC7420">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A poor credit score can limit an individua</w:t>
      </w:r>
      <w:r w:rsidRPr="00152D99">
        <w:rPr>
          <w:rFonts w:ascii="Times New Roman" w:hAnsi="Times New Roman" w:cs="Times New Roman" w:hint="eastAsia"/>
          <w:sz w:val="20"/>
          <w:szCs w:val="20"/>
        </w:rPr>
        <w:t>l</w:t>
      </w:r>
      <w:r w:rsidR="00044E22">
        <w:rPr>
          <w:rFonts w:ascii="Times New Roman" w:hAnsi="Times New Roman" w:cs="Times New Roman"/>
          <w:sz w:val="20"/>
          <w:szCs w:val="20"/>
        </w:rPr>
        <w:t>’</w:t>
      </w:r>
      <w:r w:rsidRPr="00152D99">
        <w:rPr>
          <w:rFonts w:ascii="Times New Roman" w:hAnsi="Times New Roman" w:cs="Times New Roman" w:hint="eastAsia"/>
          <w:sz w:val="20"/>
          <w:szCs w:val="20"/>
        </w:rPr>
        <w:t xml:space="preserve">s ability to </w:t>
      </w:r>
      <w:r w:rsidRPr="00152D99">
        <w:rPr>
          <w:rFonts w:ascii="Times New Roman" w:hAnsi="Times New Roman" w:cs="Times New Roman"/>
          <w:sz w:val="20"/>
          <w:szCs w:val="20"/>
        </w:rPr>
        <w:t xml:space="preserve">obtain financial products such as an unsecured credit </w:t>
      </w:r>
      <w:r w:rsidRPr="00847D1E">
        <w:rPr>
          <w:rFonts w:ascii="Times New Roman" w:hAnsi="Times New Roman" w:cs="Times New Roman"/>
          <w:sz w:val="20"/>
          <w:szCs w:val="20"/>
        </w:rPr>
        <w:t>card, bank</w:t>
      </w:r>
      <w:r w:rsidRPr="00152D99">
        <w:rPr>
          <w:rFonts w:ascii="Times New Roman" w:hAnsi="Times New Roman" w:cs="Times New Roman"/>
          <w:sz w:val="20"/>
          <w:szCs w:val="20"/>
        </w:rPr>
        <w:t xml:space="preserve"> account, a mortgage, buy a car, obtain life insurance, rent an apartment, secure </w:t>
      </w:r>
      <w:proofErr w:type="gramStart"/>
      <w:r w:rsidRPr="00152D99">
        <w:rPr>
          <w:rFonts w:ascii="Times New Roman" w:hAnsi="Times New Roman" w:cs="Times New Roman"/>
          <w:sz w:val="20"/>
          <w:szCs w:val="20"/>
        </w:rPr>
        <w:t>employment</w:t>
      </w:r>
      <w:proofErr w:type="gramEnd"/>
      <w:r w:rsidRPr="00152D99">
        <w:rPr>
          <w:rFonts w:ascii="Times New Roman" w:hAnsi="Times New Roman" w:cs="Times New Roman"/>
          <w:sz w:val="20"/>
          <w:szCs w:val="20"/>
        </w:rPr>
        <w:t xml:space="preserve"> or even obtain a cell phone plan. It can take a very short </w:t>
      </w:r>
      <w:proofErr w:type="gramStart"/>
      <w:r w:rsidRPr="00152D99">
        <w:rPr>
          <w:rFonts w:ascii="Times New Roman" w:hAnsi="Times New Roman" w:cs="Times New Roman"/>
          <w:sz w:val="20"/>
          <w:szCs w:val="20"/>
        </w:rPr>
        <w:t>period of time</w:t>
      </w:r>
      <w:proofErr w:type="gramEnd"/>
      <w:r w:rsidRPr="00152D99">
        <w:rPr>
          <w:rFonts w:ascii="Times New Roman" w:hAnsi="Times New Roman" w:cs="Times New Roman"/>
          <w:sz w:val="20"/>
          <w:szCs w:val="20"/>
        </w:rPr>
        <w:t xml:space="preserve"> for a person to damage their credit score and the results can have severe long-term implications</w:t>
      </w:r>
      <w:r w:rsidR="00FE02C0">
        <w:rPr>
          <w:rFonts w:ascii="Times New Roman" w:hAnsi="Times New Roman" w:cs="Times New Roman"/>
          <w:sz w:val="20"/>
          <w:szCs w:val="20"/>
        </w:rPr>
        <w:t xml:space="preserve"> - </w:t>
      </w:r>
      <w:r w:rsidRPr="00152D99">
        <w:rPr>
          <w:rFonts w:ascii="Times New Roman" w:hAnsi="Times New Roman" w:cs="Times New Roman"/>
          <w:sz w:val="20"/>
          <w:szCs w:val="20"/>
        </w:rPr>
        <w:t xml:space="preserve">up to seven or eight years in the case of an insolvency, which can affect their ability to obtain future credit.    </w:t>
      </w:r>
    </w:p>
    <w:p w14:paraId="4C1A73DF" w14:textId="77777777" w:rsidR="00193207" w:rsidRPr="00152D99" w:rsidRDefault="00193207" w:rsidP="00FC7420">
      <w:pPr>
        <w:spacing w:after="0" w:line="240" w:lineRule="auto"/>
        <w:jc w:val="both"/>
        <w:rPr>
          <w:rFonts w:ascii="Times New Roman" w:hAnsi="Times New Roman" w:cs="Times New Roman"/>
          <w:sz w:val="20"/>
          <w:szCs w:val="20"/>
        </w:rPr>
      </w:pPr>
    </w:p>
    <w:p w14:paraId="2DDC1046" w14:textId="77777777" w:rsidR="00193207" w:rsidRPr="00152D99" w:rsidRDefault="00193207" w:rsidP="00FC7420">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 xml:space="preserve">Canadians who are financially excluded from the mainstream credit-based economy are generally characterized by:  </w:t>
      </w:r>
    </w:p>
    <w:p w14:paraId="6E69143C" w14:textId="77777777" w:rsidR="00193207" w:rsidRPr="00152D99" w:rsidRDefault="00193207" w:rsidP="00FC7420">
      <w:pPr>
        <w:spacing w:after="0" w:line="240" w:lineRule="auto"/>
        <w:ind w:left="426"/>
        <w:jc w:val="both"/>
        <w:rPr>
          <w:rFonts w:ascii="Times New Roman" w:hAnsi="Times New Roman" w:cs="Times New Roman"/>
          <w:sz w:val="20"/>
          <w:szCs w:val="20"/>
        </w:rPr>
      </w:pP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w:t>
      </w:r>
      <w:r w:rsidRPr="00152D99">
        <w:rPr>
          <w:rFonts w:ascii="Times New Roman" w:hAnsi="Times New Roman" w:cs="Times New Roman"/>
          <w:sz w:val="20"/>
          <w:szCs w:val="20"/>
        </w:rPr>
        <w:tab/>
        <w:t xml:space="preserve">having poor credit scores  </w:t>
      </w:r>
    </w:p>
    <w:p w14:paraId="503A3496" w14:textId="77777777" w:rsidR="00193207" w:rsidRPr="00152D99" w:rsidRDefault="00193207" w:rsidP="00FC7420">
      <w:pPr>
        <w:spacing w:after="0" w:line="240" w:lineRule="auto"/>
        <w:ind w:left="426"/>
        <w:jc w:val="both"/>
        <w:rPr>
          <w:rFonts w:ascii="Times New Roman" w:hAnsi="Times New Roman" w:cs="Times New Roman"/>
          <w:sz w:val="20"/>
          <w:szCs w:val="20"/>
        </w:rPr>
      </w:pP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w:t>
      </w:r>
      <w:r w:rsidRPr="00152D99">
        <w:rPr>
          <w:rFonts w:ascii="Times New Roman" w:hAnsi="Times New Roman" w:cs="Times New Roman"/>
          <w:sz w:val="20"/>
          <w:szCs w:val="20"/>
        </w:rPr>
        <w:tab/>
        <w:t xml:space="preserve">having the inability to build a positive tradeline, and  </w:t>
      </w:r>
    </w:p>
    <w:p w14:paraId="640042D2" w14:textId="77777777" w:rsidR="00193207" w:rsidRPr="00847D1E" w:rsidRDefault="00193207" w:rsidP="00FC7420">
      <w:pPr>
        <w:spacing w:after="0" w:line="240" w:lineRule="auto"/>
        <w:ind w:left="426"/>
        <w:jc w:val="both"/>
        <w:rPr>
          <w:rFonts w:ascii="Times New Roman" w:hAnsi="Times New Roman" w:cs="Times New Roman"/>
          <w:sz w:val="20"/>
          <w:szCs w:val="20"/>
        </w:rPr>
      </w:pPr>
      <w:r w:rsidRPr="00152D99">
        <w:rPr>
          <w:rFonts w:ascii="Times New Roman" w:hAnsi="Times New Roman" w:cs="Times New Roman" w:hint="eastAsia"/>
          <w:sz w:val="20"/>
          <w:szCs w:val="20"/>
        </w:rPr>
        <w:t>•</w:t>
      </w:r>
      <w:r w:rsidRPr="00152D99">
        <w:rPr>
          <w:rFonts w:ascii="Times New Roman" w:hAnsi="Times New Roman" w:cs="Times New Roman"/>
          <w:sz w:val="20"/>
          <w:szCs w:val="20"/>
        </w:rPr>
        <w:t xml:space="preserve"> </w:t>
      </w:r>
      <w:r w:rsidRPr="00152D99">
        <w:rPr>
          <w:rFonts w:ascii="Times New Roman" w:hAnsi="Times New Roman" w:cs="Times New Roman"/>
          <w:sz w:val="20"/>
          <w:szCs w:val="20"/>
        </w:rPr>
        <w:tab/>
        <w:t xml:space="preserve">having a lack of financial literacy and financial education  </w:t>
      </w:r>
    </w:p>
    <w:p w14:paraId="79105471" w14:textId="77777777" w:rsidR="00193207" w:rsidRPr="00152D99" w:rsidRDefault="00193207" w:rsidP="00FC7420">
      <w:pPr>
        <w:spacing w:after="0" w:line="240" w:lineRule="auto"/>
        <w:ind w:left="426"/>
        <w:jc w:val="both"/>
        <w:rPr>
          <w:rFonts w:ascii="Times New Roman" w:hAnsi="Times New Roman" w:cs="Times New Roman"/>
          <w:sz w:val="20"/>
          <w:szCs w:val="20"/>
        </w:rPr>
      </w:pPr>
    </w:p>
    <w:p w14:paraId="0284714F" w14:textId="77777777" w:rsidR="00193207" w:rsidRPr="00152D99" w:rsidRDefault="00193207" w:rsidP="00FC7420">
      <w:pPr>
        <w:spacing w:after="0" w:line="240" w:lineRule="auto"/>
        <w:jc w:val="both"/>
        <w:rPr>
          <w:rFonts w:ascii="Times New Roman" w:hAnsi="Times New Roman" w:cs="Times New Roman"/>
          <w:sz w:val="20"/>
          <w:szCs w:val="20"/>
        </w:rPr>
      </w:pPr>
      <w:r w:rsidRPr="00152D99">
        <w:rPr>
          <w:rFonts w:ascii="Times New Roman" w:hAnsi="Times New Roman" w:cs="Times New Roman"/>
          <w:sz w:val="20"/>
          <w:szCs w:val="20"/>
        </w:rPr>
        <w:t xml:space="preserve">There are several companies that offer a free credit score to </w:t>
      </w:r>
      <w:r w:rsidRPr="00F06677">
        <w:rPr>
          <w:rFonts w:ascii="Times New Roman" w:hAnsi="Times New Roman" w:cs="Times New Roman"/>
          <w:sz w:val="20"/>
          <w:szCs w:val="20"/>
        </w:rPr>
        <w:t>consumers,</w:t>
      </w:r>
      <w:r w:rsidRPr="00152D99">
        <w:rPr>
          <w:rFonts w:ascii="Times New Roman" w:hAnsi="Times New Roman" w:cs="Times New Roman"/>
          <w:sz w:val="20"/>
          <w:szCs w:val="20"/>
        </w:rPr>
        <w:t xml:space="preserve"> but the Company saw a void in the market for a solution that provides and helps consumers with insights and recommendations on how to individually rebuild or improve their credit score. Credit score deterioration is not merely a function of consumers not choosing to make their debt obligations, it can stem from an unforeseen or unexpected life event such as job loss, divorce, critical </w:t>
      </w:r>
      <w:proofErr w:type="gramStart"/>
      <w:r w:rsidRPr="00152D99">
        <w:rPr>
          <w:rFonts w:ascii="Times New Roman" w:hAnsi="Times New Roman" w:cs="Times New Roman"/>
          <w:sz w:val="20"/>
          <w:szCs w:val="20"/>
        </w:rPr>
        <w:t>illness</w:t>
      </w:r>
      <w:proofErr w:type="gramEnd"/>
      <w:r w:rsidRPr="00152D99">
        <w:rPr>
          <w:rFonts w:ascii="Times New Roman" w:hAnsi="Times New Roman" w:cs="Times New Roman"/>
          <w:sz w:val="20"/>
          <w:szCs w:val="20"/>
        </w:rPr>
        <w:t xml:space="preserve"> or death in the family which results in inability to service debt obligations, especially in cases where a consumer carries unmanageable debt loads.  The COVID-19 pandemic has magnified the debt problems for many Canadians but has also created an opportunity for Marble, as its business focus is not only on assisting Canadians in understanding and improving their credit scores but also to improve their overall financial literacy and personal finances.  </w:t>
      </w:r>
    </w:p>
    <w:p w14:paraId="2DFB99B9" w14:textId="77777777" w:rsidR="00193207" w:rsidRPr="00943E43" w:rsidRDefault="00193207" w:rsidP="00FC7420">
      <w:pPr>
        <w:spacing w:after="0" w:line="240" w:lineRule="auto"/>
        <w:jc w:val="both"/>
        <w:rPr>
          <w:rFonts w:ascii="Times New Roman" w:hAnsi="Times New Roman" w:cs="Times New Roman"/>
          <w:sz w:val="20"/>
          <w:szCs w:val="20"/>
        </w:rPr>
      </w:pPr>
      <w:r w:rsidRPr="00943E43">
        <w:rPr>
          <w:rFonts w:ascii="Times New Roman" w:hAnsi="Times New Roman" w:cs="Times New Roman"/>
          <w:sz w:val="20"/>
          <w:szCs w:val="20"/>
        </w:rPr>
        <w:t>   </w:t>
      </w:r>
    </w:p>
    <w:p w14:paraId="284526A0" w14:textId="77777777" w:rsidR="00193207" w:rsidRDefault="00193207" w:rsidP="00FC7420">
      <w:pPr>
        <w:spacing w:after="0" w:line="240" w:lineRule="auto"/>
        <w:ind w:right="4"/>
        <w:jc w:val="both"/>
        <w:rPr>
          <w:rFonts w:ascii="Times New Roman" w:hAnsi="Times New Roman" w:cs="Times New Roman"/>
          <w:sz w:val="20"/>
          <w:szCs w:val="20"/>
        </w:rPr>
      </w:pPr>
      <w:r w:rsidRPr="00152D99">
        <w:rPr>
          <w:rFonts w:ascii="Times New Roman" w:hAnsi="Times New Roman" w:cs="Times New Roman"/>
          <w:sz w:val="20"/>
          <w:szCs w:val="20"/>
        </w:rPr>
        <w:t xml:space="preserve">The </w:t>
      </w:r>
      <w:proofErr w:type="spellStart"/>
      <w:r w:rsidRPr="00152D99">
        <w:rPr>
          <w:rFonts w:ascii="Times New Roman" w:hAnsi="Times New Roman" w:cs="Times New Roman"/>
          <w:sz w:val="20"/>
          <w:szCs w:val="20"/>
        </w:rPr>
        <w:t>MyMarble</w:t>
      </w:r>
      <w:proofErr w:type="spellEnd"/>
      <w:r w:rsidRPr="00152D99">
        <w:rPr>
          <w:rFonts w:ascii="Times New Roman" w:hAnsi="Times New Roman" w:cs="Times New Roman"/>
          <w:sz w:val="20"/>
          <w:szCs w:val="20"/>
        </w:rPr>
        <w:t xml:space="preserve"> Platform is a cloud-based software platform designed to provide users with personalized granular solutions in the areas of:  </w:t>
      </w:r>
    </w:p>
    <w:p w14:paraId="7FE79F7D" w14:textId="77777777" w:rsidR="00193207" w:rsidRPr="00152D99" w:rsidRDefault="00193207" w:rsidP="00FC7420">
      <w:pPr>
        <w:spacing w:after="0" w:line="240" w:lineRule="auto"/>
        <w:ind w:right="4"/>
        <w:rPr>
          <w:rFonts w:ascii="Times New Roman" w:hAnsi="Times New Roman" w:cs="Times New Roman"/>
          <w:sz w:val="20"/>
          <w:szCs w:val="20"/>
        </w:rPr>
      </w:pPr>
    </w:p>
    <w:p w14:paraId="73DE76AB" w14:textId="77777777" w:rsidR="00193207" w:rsidRPr="00152D99" w:rsidRDefault="00193207" w:rsidP="00FC7420">
      <w:pPr>
        <w:pStyle w:val="ListParagraph"/>
        <w:numPr>
          <w:ilvl w:val="0"/>
          <w:numId w:val="11"/>
        </w:numPr>
        <w:tabs>
          <w:tab w:val="left" w:pos="1340"/>
        </w:tabs>
        <w:spacing w:after="0" w:line="240" w:lineRule="auto"/>
        <w:ind w:right="4"/>
        <w:jc w:val="both"/>
        <w:rPr>
          <w:rFonts w:ascii="Times New Roman" w:hAnsi="Times New Roman" w:cs="Times New Roman"/>
          <w:sz w:val="20"/>
          <w:szCs w:val="20"/>
        </w:rPr>
      </w:pPr>
      <w:r w:rsidRPr="00152D99">
        <w:rPr>
          <w:rFonts w:ascii="Times New Roman" w:hAnsi="Times New Roman" w:cs="Times New Roman"/>
          <w:sz w:val="20"/>
          <w:szCs w:val="20"/>
        </w:rPr>
        <w:t xml:space="preserve">Budgeting, cash flow analysis, </w:t>
      </w:r>
      <w:proofErr w:type="gramStart"/>
      <w:r w:rsidRPr="00451579">
        <w:rPr>
          <w:rFonts w:ascii="Times New Roman" w:hAnsi="Times New Roman" w:cs="Times New Roman"/>
          <w:sz w:val="20"/>
          <w:szCs w:val="20"/>
        </w:rPr>
        <w:t>trends</w:t>
      </w:r>
      <w:proofErr w:type="gramEnd"/>
      <w:r>
        <w:rPr>
          <w:rFonts w:ascii="Times New Roman" w:hAnsi="Times New Roman" w:cs="Times New Roman"/>
          <w:sz w:val="20"/>
          <w:szCs w:val="20"/>
        </w:rPr>
        <w:t xml:space="preserve"> </w:t>
      </w:r>
      <w:r w:rsidRPr="00152D99">
        <w:rPr>
          <w:rFonts w:ascii="Times New Roman" w:hAnsi="Times New Roman" w:cs="Times New Roman"/>
          <w:sz w:val="20"/>
          <w:szCs w:val="20"/>
        </w:rPr>
        <w:t xml:space="preserve">and insights:  By connecting their financial profile, customers have access to up-to-date and </w:t>
      </w:r>
      <w:r>
        <w:rPr>
          <w:rFonts w:ascii="Times New Roman" w:hAnsi="Times New Roman" w:cs="Times New Roman"/>
          <w:sz w:val="20"/>
          <w:szCs w:val="20"/>
        </w:rPr>
        <w:t>l</w:t>
      </w:r>
      <w:r w:rsidRPr="00152D99">
        <w:rPr>
          <w:rFonts w:ascii="Times New Roman" w:hAnsi="Times New Roman" w:cs="Times New Roman"/>
          <w:sz w:val="20"/>
          <w:szCs w:val="20"/>
        </w:rPr>
        <w:t xml:space="preserve">ive financial recommendations that </w:t>
      </w:r>
      <w:r w:rsidRPr="00451579">
        <w:rPr>
          <w:rFonts w:ascii="Times New Roman" w:hAnsi="Times New Roman" w:cs="Times New Roman"/>
          <w:sz w:val="20"/>
          <w:szCs w:val="20"/>
        </w:rPr>
        <w:t>enable customer</w:t>
      </w:r>
      <w:r>
        <w:rPr>
          <w:rFonts w:ascii="Times New Roman" w:hAnsi="Times New Roman" w:cs="Times New Roman"/>
          <w:sz w:val="20"/>
          <w:szCs w:val="20"/>
        </w:rPr>
        <w:t>s</w:t>
      </w:r>
      <w:r w:rsidRPr="00152D99">
        <w:rPr>
          <w:rFonts w:ascii="Times New Roman" w:hAnsi="Times New Roman" w:cs="Times New Roman"/>
          <w:sz w:val="20"/>
          <w:szCs w:val="20"/>
        </w:rPr>
        <w:t xml:space="preserve"> to </w:t>
      </w:r>
      <w:r w:rsidRPr="00451579">
        <w:rPr>
          <w:rFonts w:ascii="Times New Roman" w:hAnsi="Times New Roman" w:cs="Times New Roman"/>
          <w:sz w:val="20"/>
          <w:szCs w:val="20"/>
        </w:rPr>
        <w:t>analyze areas</w:t>
      </w:r>
      <w:r w:rsidRPr="00152D99">
        <w:rPr>
          <w:rFonts w:ascii="Times New Roman" w:hAnsi="Times New Roman" w:cs="Times New Roman"/>
          <w:sz w:val="20"/>
          <w:szCs w:val="20"/>
        </w:rPr>
        <w:t xml:space="preserve"> of financial improvement.   </w:t>
      </w:r>
    </w:p>
    <w:p w14:paraId="387B6C7E" w14:textId="77777777" w:rsidR="00193207" w:rsidRPr="00152D99" w:rsidRDefault="00193207" w:rsidP="00FC7420">
      <w:pPr>
        <w:pStyle w:val="ListParagraph"/>
        <w:numPr>
          <w:ilvl w:val="0"/>
          <w:numId w:val="11"/>
        </w:numPr>
        <w:tabs>
          <w:tab w:val="left" w:pos="1340"/>
        </w:tabs>
        <w:spacing w:after="0" w:line="240" w:lineRule="auto"/>
        <w:ind w:right="4"/>
        <w:jc w:val="both"/>
        <w:rPr>
          <w:rFonts w:ascii="Times New Roman" w:hAnsi="Times New Roman" w:cs="Times New Roman"/>
          <w:sz w:val="20"/>
          <w:szCs w:val="20"/>
        </w:rPr>
      </w:pPr>
      <w:r w:rsidRPr="00152D99">
        <w:rPr>
          <w:rFonts w:ascii="Times New Roman" w:hAnsi="Times New Roman" w:cs="Times New Roman"/>
          <w:sz w:val="20"/>
          <w:szCs w:val="20"/>
        </w:rPr>
        <w:t xml:space="preserve">Credit insights, </w:t>
      </w:r>
      <w:proofErr w:type="gramStart"/>
      <w:r w:rsidRPr="00152D99">
        <w:rPr>
          <w:rFonts w:ascii="Times New Roman" w:hAnsi="Times New Roman" w:cs="Times New Roman"/>
          <w:sz w:val="20"/>
          <w:szCs w:val="20"/>
        </w:rPr>
        <w:t>recommendations</w:t>
      </w:r>
      <w:proofErr w:type="gramEnd"/>
      <w:r w:rsidRPr="00152D99">
        <w:rPr>
          <w:rFonts w:ascii="Times New Roman" w:hAnsi="Times New Roman" w:cs="Times New Roman"/>
          <w:sz w:val="20"/>
          <w:szCs w:val="20"/>
        </w:rPr>
        <w:t xml:space="preserve"> and simulators:  Score-Up empowers customers to rebuild and improve their credit score by utilizing the proprietary point deduction t</w:t>
      </w:r>
      <w:r w:rsidRPr="00152D99">
        <w:rPr>
          <w:rFonts w:ascii="Times New Roman" w:hAnsi="Times New Roman" w:cs="Times New Roman" w:hint="eastAsia"/>
          <w:sz w:val="20"/>
          <w:szCs w:val="20"/>
        </w:rPr>
        <w:t>echnology (</w:t>
      </w:r>
      <w:r>
        <w:rPr>
          <w:rFonts w:ascii="Times New Roman" w:eastAsia="MS Mincho" w:hAnsi="Times New Roman" w:cs="Times New Roman"/>
          <w:sz w:val="20"/>
          <w:szCs w:val="20"/>
        </w:rPr>
        <w:t>“</w:t>
      </w:r>
      <w:r w:rsidRPr="00152D99">
        <w:rPr>
          <w:rFonts w:ascii="Times New Roman" w:hAnsi="Times New Roman" w:cs="Times New Roman"/>
          <w:sz w:val="20"/>
          <w:szCs w:val="20"/>
        </w:rPr>
        <w:t>PDT</w:t>
      </w:r>
      <w:r>
        <w:rPr>
          <w:rFonts w:ascii="Times New Roman" w:eastAsia="MS Mincho" w:hAnsi="Times New Roman" w:cs="Times New Roman"/>
          <w:sz w:val="20"/>
          <w:szCs w:val="20"/>
        </w:rPr>
        <w:t>”</w:t>
      </w:r>
      <w:r w:rsidRPr="00152D99">
        <w:rPr>
          <w:rFonts w:ascii="Times New Roman" w:hAnsi="Times New Roman" w:cs="Times New Roman"/>
          <w:sz w:val="20"/>
          <w:szCs w:val="20"/>
        </w:rPr>
        <w:t xml:space="preserve">) that is the basis for credit score improvement recommendations, credit monitoring, coaching and budgeting.  </w:t>
      </w:r>
    </w:p>
    <w:p w14:paraId="71FDE6AD" w14:textId="785FB635" w:rsidR="00193207" w:rsidRPr="00152D99" w:rsidRDefault="00193207" w:rsidP="00FC7420">
      <w:pPr>
        <w:pStyle w:val="ListParagraph"/>
        <w:numPr>
          <w:ilvl w:val="0"/>
          <w:numId w:val="11"/>
        </w:numPr>
        <w:tabs>
          <w:tab w:val="left" w:pos="1340"/>
        </w:tabs>
        <w:spacing w:after="0" w:line="240" w:lineRule="auto"/>
        <w:ind w:right="4"/>
        <w:jc w:val="both"/>
        <w:rPr>
          <w:rFonts w:ascii="Times New Roman" w:hAnsi="Times New Roman" w:cs="Times New Roman"/>
          <w:sz w:val="20"/>
          <w:szCs w:val="20"/>
        </w:rPr>
      </w:pPr>
      <w:r w:rsidRPr="00152D99">
        <w:rPr>
          <w:rFonts w:ascii="Times New Roman" w:hAnsi="Times New Roman" w:cs="Times New Roman"/>
          <w:sz w:val="20"/>
          <w:szCs w:val="20"/>
        </w:rPr>
        <w:t>Financial literacy and education:  U</w:t>
      </w:r>
      <w:r w:rsidRPr="00152D99">
        <w:rPr>
          <w:rFonts w:ascii="Times New Roman" w:hAnsi="Times New Roman" w:cs="Times New Roman" w:hint="eastAsia"/>
          <w:sz w:val="20"/>
          <w:szCs w:val="20"/>
        </w:rPr>
        <w:t>sing the Company</w:t>
      </w:r>
      <w:r w:rsidR="007B23C0">
        <w:rPr>
          <w:rFonts w:ascii="Times New Roman" w:eastAsia="MS Mincho" w:hAnsi="Times New Roman" w:cs="Times New Roman"/>
          <w:sz w:val="20"/>
          <w:szCs w:val="20"/>
        </w:rPr>
        <w:t>’</w:t>
      </w:r>
      <w:r w:rsidRPr="00152D99">
        <w:rPr>
          <w:rFonts w:ascii="Times New Roman" w:hAnsi="Times New Roman" w:cs="Times New Roman" w:hint="eastAsia"/>
          <w:sz w:val="20"/>
          <w:szCs w:val="20"/>
        </w:rPr>
        <w:t xml:space="preserve">s </w:t>
      </w:r>
      <w:r w:rsidR="007B23C0">
        <w:rPr>
          <w:rFonts w:ascii="Times New Roman" w:hAnsi="Times New Roman" w:cs="Times New Roman"/>
          <w:sz w:val="20"/>
          <w:szCs w:val="20"/>
        </w:rPr>
        <w:t>Marble Learn</w:t>
      </w:r>
      <w:r w:rsidRPr="00152D99">
        <w:rPr>
          <w:rFonts w:ascii="Times New Roman" w:hAnsi="Times New Roman" w:cs="Times New Roman"/>
          <w:sz w:val="20"/>
          <w:szCs w:val="20"/>
        </w:rPr>
        <w:t xml:space="preserve"> product, customers have access to industry expert course programs designed to improve financial literacy.   </w:t>
      </w:r>
    </w:p>
    <w:p w14:paraId="348770F0" w14:textId="5E3705D6" w:rsidR="00193207" w:rsidRDefault="00193207" w:rsidP="00FC7420">
      <w:pPr>
        <w:pStyle w:val="ListParagraph"/>
        <w:numPr>
          <w:ilvl w:val="0"/>
          <w:numId w:val="11"/>
        </w:numPr>
        <w:tabs>
          <w:tab w:val="left" w:pos="1340"/>
        </w:tabs>
        <w:spacing w:after="0" w:line="240" w:lineRule="auto"/>
        <w:ind w:right="4"/>
        <w:jc w:val="both"/>
        <w:rPr>
          <w:rFonts w:ascii="Times New Roman" w:hAnsi="Times New Roman" w:cs="Times New Roman"/>
          <w:sz w:val="20"/>
          <w:szCs w:val="20"/>
        </w:rPr>
      </w:pPr>
      <w:r w:rsidRPr="00152D99">
        <w:rPr>
          <w:rFonts w:ascii="Times New Roman" w:hAnsi="Times New Roman" w:cs="Times New Roman"/>
          <w:sz w:val="20"/>
          <w:szCs w:val="20"/>
        </w:rPr>
        <w:lastRenderedPageBreak/>
        <w:t xml:space="preserve">Credit wellness post insolvency: Customers can exit a Consumer Proposal using the </w:t>
      </w:r>
      <w:r w:rsidRPr="00152D99">
        <w:rPr>
          <w:rFonts w:ascii="Times New Roman" w:hAnsi="Times New Roman" w:cs="Times New Roman" w:hint="eastAsia"/>
          <w:sz w:val="20"/>
          <w:szCs w:val="20"/>
        </w:rPr>
        <w:t>Company</w:t>
      </w:r>
      <w:r>
        <w:rPr>
          <w:rFonts w:ascii="Times New Roman" w:eastAsia="MS Mincho" w:hAnsi="Times New Roman" w:cs="Times New Roman"/>
          <w:sz w:val="20"/>
          <w:szCs w:val="20"/>
        </w:rPr>
        <w:t>’</w:t>
      </w:r>
      <w:r w:rsidRPr="00152D99">
        <w:rPr>
          <w:rFonts w:ascii="Times New Roman" w:hAnsi="Times New Roman" w:cs="Times New Roman" w:hint="eastAsia"/>
          <w:sz w:val="20"/>
          <w:szCs w:val="20"/>
        </w:rPr>
        <w:t xml:space="preserve">s </w:t>
      </w:r>
      <w:r w:rsidRPr="00152D99">
        <w:rPr>
          <w:rFonts w:ascii="Times New Roman" w:hAnsi="Times New Roman" w:cs="Times New Roman"/>
          <w:sz w:val="20"/>
          <w:szCs w:val="20"/>
        </w:rPr>
        <w:t xml:space="preserve">Fast-Track product.  </w:t>
      </w:r>
    </w:p>
    <w:p w14:paraId="21B625A7" w14:textId="2CCA1FEB" w:rsidR="00FE02C0" w:rsidRPr="00152D99" w:rsidRDefault="00FE02C0" w:rsidP="00FC7420">
      <w:pPr>
        <w:pStyle w:val="ListParagraph"/>
        <w:numPr>
          <w:ilvl w:val="0"/>
          <w:numId w:val="11"/>
        </w:numPr>
        <w:tabs>
          <w:tab w:val="left" w:pos="1340"/>
        </w:tabs>
        <w:spacing w:after="0" w:line="240" w:lineRule="auto"/>
        <w:ind w:right="4"/>
        <w:jc w:val="both"/>
        <w:rPr>
          <w:rFonts w:ascii="Times New Roman" w:hAnsi="Times New Roman" w:cs="Times New Roman"/>
          <w:sz w:val="20"/>
          <w:szCs w:val="20"/>
        </w:rPr>
      </w:pPr>
      <w:r w:rsidRPr="00FE02C0">
        <w:rPr>
          <w:rFonts w:ascii="Times New Roman" w:hAnsi="Times New Roman" w:cs="Times New Roman"/>
          <w:sz w:val="20"/>
          <w:szCs w:val="20"/>
        </w:rPr>
        <w:t xml:space="preserve">Combined savings and credit-rebuilding tool: </w:t>
      </w:r>
      <w:r w:rsidR="00C42020">
        <w:rPr>
          <w:rFonts w:ascii="Times New Roman" w:hAnsi="Times New Roman" w:cs="Times New Roman"/>
          <w:sz w:val="20"/>
          <w:szCs w:val="20"/>
        </w:rPr>
        <w:t xml:space="preserve">Customers can build a savings plan and </w:t>
      </w:r>
      <w:r w:rsidR="0045474D">
        <w:rPr>
          <w:rFonts w:ascii="Times New Roman" w:hAnsi="Times New Roman" w:cs="Times New Roman"/>
          <w:sz w:val="20"/>
          <w:szCs w:val="20"/>
        </w:rPr>
        <w:t xml:space="preserve">their </w:t>
      </w:r>
      <w:r w:rsidR="00C42020">
        <w:rPr>
          <w:rFonts w:ascii="Times New Roman" w:hAnsi="Times New Roman" w:cs="Times New Roman"/>
          <w:sz w:val="20"/>
          <w:szCs w:val="20"/>
        </w:rPr>
        <w:t>credit with the Secured Future Credit Plan p</w:t>
      </w:r>
      <w:r w:rsidRPr="00FE02C0">
        <w:rPr>
          <w:rFonts w:ascii="Times New Roman" w:hAnsi="Times New Roman" w:cs="Times New Roman"/>
          <w:sz w:val="20"/>
          <w:szCs w:val="20"/>
        </w:rPr>
        <w:t>roduct</w:t>
      </w:r>
      <w:r w:rsidR="00C42020">
        <w:rPr>
          <w:rFonts w:ascii="Times New Roman" w:hAnsi="Times New Roman" w:cs="Times New Roman"/>
          <w:sz w:val="20"/>
          <w:szCs w:val="20"/>
        </w:rPr>
        <w:t>. This</w:t>
      </w:r>
      <w:r w:rsidRPr="00FE02C0">
        <w:rPr>
          <w:rFonts w:ascii="Times New Roman" w:hAnsi="Times New Roman" w:cs="Times New Roman"/>
          <w:sz w:val="20"/>
          <w:szCs w:val="20"/>
        </w:rPr>
        <w:t xml:space="preserve"> </w:t>
      </w:r>
      <w:r w:rsidR="0045474D">
        <w:rPr>
          <w:rFonts w:ascii="Times New Roman" w:hAnsi="Times New Roman" w:cs="Times New Roman"/>
          <w:sz w:val="20"/>
          <w:szCs w:val="20"/>
        </w:rPr>
        <w:t>product</w:t>
      </w:r>
      <w:r w:rsidR="00C42020">
        <w:rPr>
          <w:rFonts w:ascii="Times New Roman" w:hAnsi="Times New Roman" w:cs="Times New Roman"/>
          <w:sz w:val="20"/>
          <w:szCs w:val="20"/>
        </w:rPr>
        <w:t xml:space="preserve"> is provided </w:t>
      </w:r>
      <w:r w:rsidRPr="00FE02C0">
        <w:rPr>
          <w:rFonts w:ascii="Times New Roman" w:hAnsi="Times New Roman" w:cs="Times New Roman"/>
          <w:sz w:val="20"/>
          <w:szCs w:val="20"/>
        </w:rPr>
        <w:t xml:space="preserve">by </w:t>
      </w:r>
      <w:proofErr w:type="gramStart"/>
      <w:r w:rsidRPr="00FE02C0">
        <w:rPr>
          <w:rFonts w:ascii="Times New Roman" w:hAnsi="Times New Roman" w:cs="Times New Roman"/>
          <w:sz w:val="20"/>
          <w:szCs w:val="20"/>
        </w:rPr>
        <w:t xml:space="preserve">Jenson, </w:t>
      </w:r>
      <w:r w:rsidR="0045474D">
        <w:rPr>
          <w:rFonts w:ascii="Times New Roman" w:hAnsi="Times New Roman" w:cs="Times New Roman"/>
          <w:sz w:val="20"/>
          <w:szCs w:val="20"/>
        </w:rPr>
        <w:t>and</w:t>
      </w:r>
      <w:proofErr w:type="gramEnd"/>
      <w:r w:rsidR="0045474D">
        <w:rPr>
          <w:rFonts w:ascii="Times New Roman" w:hAnsi="Times New Roman" w:cs="Times New Roman"/>
          <w:sz w:val="20"/>
          <w:szCs w:val="20"/>
        </w:rPr>
        <w:t xml:space="preserve"> is</w:t>
      </w:r>
      <w:r w:rsidRPr="00FE02C0">
        <w:rPr>
          <w:rFonts w:ascii="Times New Roman" w:hAnsi="Times New Roman" w:cs="Times New Roman"/>
          <w:sz w:val="20"/>
          <w:szCs w:val="20"/>
        </w:rPr>
        <w:t xml:space="preserve"> their GIC Savings Loan product.</w:t>
      </w:r>
    </w:p>
    <w:p w14:paraId="4B0464DA" w14:textId="77777777" w:rsidR="00193207" w:rsidRDefault="00193207" w:rsidP="00193207">
      <w:pPr>
        <w:spacing w:after="0" w:line="240" w:lineRule="auto"/>
        <w:jc w:val="both"/>
        <w:rPr>
          <w:rFonts w:ascii="Times New Roman" w:hAnsi="Times New Roman" w:cs="Times New Roman"/>
          <w:sz w:val="20"/>
          <w:szCs w:val="20"/>
        </w:rPr>
      </w:pPr>
    </w:p>
    <w:p w14:paraId="029DEBD8" w14:textId="77777777" w:rsidR="00193207" w:rsidRDefault="00193207" w:rsidP="00193207">
      <w:pPr>
        <w:spacing w:after="0" w:line="230" w:lineRule="exact"/>
        <w:ind w:right="4"/>
        <w:jc w:val="both"/>
        <w:rPr>
          <w:rFonts w:ascii="Times New Roman" w:hAnsi="Times New Roman" w:cs="Times New Roman"/>
          <w:sz w:val="20"/>
          <w:szCs w:val="20"/>
        </w:rPr>
      </w:pPr>
      <w:r w:rsidRPr="00152D99">
        <w:rPr>
          <w:rFonts w:ascii="Times New Roman" w:hAnsi="Times New Roman" w:cs="Times New Roman"/>
          <w:sz w:val="20"/>
          <w:szCs w:val="20"/>
        </w:rPr>
        <w:t xml:space="preserve">Marble was incorporated as Phoenix N2N Capital Inc. under the Business Corporation Act (British Columbia) on July 7, 2015. On September 15, 2016, Marble was continued under the Canada Business Corporation Act and on December 16, </w:t>
      </w:r>
      <w:proofErr w:type="gramStart"/>
      <w:r w:rsidRPr="00152D99">
        <w:rPr>
          <w:rFonts w:ascii="Times New Roman" w:hAnsi="Times New Roman" w:cs="Times New Roman"/>
          <w:sz w:val="20"/>
          <w:szCs w:val="20"/>
        </w:rPr>
        <w:t>2015</w:t>
      </w:r>
      <w:proofErr w:type="gramEnd"/>
      <w:r w:rsidRPr="00152D99">
        <w:rPr>
          <w:rFonts w:ascii="Times New Roman" w:hAnsi="Times New Roman" w:cs="Times New Roman"/>
          <w:sz w:val="20"/>
          <w:szCs w:val="20"/>
        </w:rPr>
        <w:t xml:space="preserve"> changed its name from Phoenix N2N Capital Inc. to MLI Marble Lending Inc. On November 8, 2019, the Company changed its name from MLI Marble Lending Inc. to the present Marble Financial Inc.   </w:t>
      </w:r>
    </w:p>
    <w:p w14:paraId="7F6D7F7A" w14:textId="77777777" w:rsidR="00193207" w:rsidRPr="00152D99" w:rsidRDefault="00193207" w:rsidP="00193207">
      <w:pPr>
        <w:spacing w:after="0" w:line="230" w:lineRule="exact"/>
        <w:ind w:right="4"/>
        <w:jc w:val="both"/>
        <w:rPr>
          <w:rFonts w:ascii="Times New Roman" w:hAnsi="Times New Roman" w:cs="Times New Roman"/>
          <w:sz w:val="20"/>
          <w:szCs w:val="20"/>
        </w:rPr>
      </w:pPr>
    </w:p>
    <w:p w14:paraId="26C06C80" w14:textId="49346530" w:rsidR="00193207" w:rsidRPr="00152D99" w:rsidRDefault="00193207" w:rsidP="00193207">
      <w:pPr>
        <w:spacing w:after="0" w:line="229" w:lineRule="exact"/>
        <w:ind w:right="4"/>
        <w:jc w:val="both"/>
        <w:rPr>
          <w:rFonts w:ascii="Times New Roman" w:hAnsi="Times New Roman" w:cs="Times New Roman"/>
          <w:sz w:val="20"/>
          <w:szCs w:val="20"/>
        </w:rPr>
      </w:pPr>
      <w:r w:rsidRPr="00520131">
        <w:rPr>
          <w:rFonts w:ascii="Times New Roman" w:hAnsi="Times New Roman" w:cs="Times New Roman"/>
          <w:sz w:val="20"/>
          <w:szCs w:val="20"/>
        </w:rPr>
        <w:t xml:space="preserve">The head office of the </w:t>
      </w:r>
      <w:r>
        <w:rPr>
          <w:rFonts w:ascii="Times New Roman" w:hAnsi="Times New Roman" w:cs="Times New Roman"/>
          <w:sz w:val="20"/>
          <w:szCs w:val="20"/>
        </w:rPr>
        <w:t>Company</w:t>
      </w:r>
      <w:r w:rsidRPr="00520131">
        <w:rPr>
          <w:rFonts w:ascii="Times New Roman" w:hAnsi="Times New Roman" w:cs="Times New Roman"/>
          <w:sz w:val="20"/>
          <w:szCs w:val="20"/>
        </w:rPr>
        <w:t xml:space="preserve"> is located at </w:t>
      </w:r>
      <w:r w:rsidRPr="00067777">
        <w:rPr>
          <w:rFonts w:ascii="Times New Roman" w:hAnsi="Times New Roman" w:cs="Times New Roman"/>
          <w:sz w:val="20"/>
          <w:szCs w:val="20"/>
        </w:rPr>
        <w:t>Suite 404-999 Canada Place</w:t>
      </w:r>
      <w:r w:rsidRPr="00520131">
        <w:rPr>
          <w:rFonts w:ascii="Times New Roman" w:hAnsi="Times New Roman" w:cs="Times New Roman"/>
          <w:sz w:val="20"/>
          <w:szCs w:val="20"/>
        </w:rPr>
        <w:t xml:space="preserve">, Vancouver, British Columbia, </w:t>
      </w:r>
      <w:r w:rsidRPr="00067777">
        <w:rPr>
          <w:rFonts w:ascii="Times New Roman" w:hAnsi="Times New Roman" w:cs="Times New Roman"/>
          <w:sz w:val="20"/>
          <w:szCs w:val="20"/>
        </w:rPr>
        <w:t>V6C 3E2</w:t>
      </w:r>
      <w:r w:rsidRPr="00520131">
        <w:rPr>
          <w:rFonts w:ascii="Times New Roman" w:hAnsi="Times New Roman" w:cs="Times New Roman"/>
          <w:sz w:val="20"/>
          <w:szCs w:val="20"/>
        </w:rPr>
        <w:t>.</w:t>
      </w:r>
      <w:r>
        <w:rPr>
          <w:rFonts w:ascii="Times New Roman" w:hAnsi="Times New Roman" w:cs="Times New Roman"/>
          <w:sz w:val="20"/>
          <w:szCs w:val="20"/>
        </w:rPr>
        <w:t xml:space="preserve"> </w:t>
      </w:r>
      <w:bookmarkStart w:id="1" w:name="_Hlk17104960"/>
      <w:r>
        <w:rPr>
          <w:rFonts w:ascii="Times New Roman" w:hAnsi="Times New Roman" w:cs="Times New Roman"/>
          <w:sz w:val="20"/>
          <w:szCs w:val="20"/>
        </w:rPr>
        <w:t>Marble’s</w:t>
      </w:r>
      <w:r w:rsidRPr="00067777">
        <w:rPr>
          <w:rFonts w:ascii="Times New Roman" w:hAnsi="Times New Roman" w:cs="Times New Roman"/>
          <w:sz w:val="20"/>
          <w:szCs w:val="20"/>
        </w:rPr>
        <w:t xml:space="preserve"> </w:t>
      </w:r>
      <w:r>
        <w:rPr>
          <w:rFonts w:ascii="Times New Roman" w:hAnsi="Times New Roman" w:cs="Times New Roman"/>
          <w:sz w:val="20"/>
          <w:szCs w:val="20"/>
        </w:rPr>
        <w:t xml:space="preserve">common </w:t>
      </w:r>
      <w:r w:rsidRPr="00067777">
        <w:rPr>
          <w:rFonts w:ascii="Times New Roman" w:hAnsi="Times New Roman" w:cs="Times New Roman"/>
          <w:sz w:val="20"/>
          <w:szCs w:val="20"/>
        </w:rPr>
        <w:t xml:space="preserve">shares </w:t>
      </w:r>
      <w:r>
        <w:rPr>
          <w:rFonts w:ascii="Times New Roman" w:hAnsi="Times New Roman" w:cs="Times New Roman"/>
          <w:sz w:val="20"/>
          <w:szCs w:val="20"/>
        </w:rPr>
        <w:t xml:space="preserve">are listed for trading </w:t>
      </w:r>
      <w:r w:rsidRPr="00067777">
        <w:rPr>
          <w:rFonts w:ascii="Times New Roman" w:hAnsi="Times New Roman" w:cs="Times New Roman"/>
          <w:sz w:val="20"/>
          <w:szCs w:val="20"/>
        </w:rPr>
        <w:t>on the</w:t>
      </w:r>
      <w:r>
        <w:rPr>
          <w:rFonts w:ascii="Times New Roman" w:hAnsi="Times New Roman" w:cs="Times New Roman"/>
          <w:sz w:val="20"/>
          <w:szCs w:val="20"/>
        </w:rPr>
        <w:t xml:space="preserve"> Canadian Securities Exchange</w:t>
      </w:r>
      <w:r w:rsidRPr="00067777">
        <w:rPr>
          <w:rFonts w:ascii="Times New Roman" w:hAnsi="Times New Roman" w:cs="Times New Roman"/>
          <w:sz w:val="20"/>
          <w:szCs w:val="20"/>
        </w:rPr>
        <w:t xml:space="preserve"> </w:t>
      </w:r>
      <w:r>
        <w:rPr>
          <w:rFonts w:ascii="Times New Roman" w:hAnsi="Times New Roman" w:cs="Times New Roman"/>
          <w:sz w:val="20"/>
          <w:szCs w:val="20"/>
        </w:rPr>
        <w:t>(“</w:t>
      </w:r>
      <w:r w:rsidRPr="00067777">
        <w:rPr>
          <w:rFonts w:ascii="Times New Roman" w:hAnsi="Times New Roman" w:cs="Times New Roman"/>
          <w:sz w:val="20"/>
          <w:szCs w:val="20"/>
        </w:rPr>
        <w:t>CSE</w:t>
      </w:r>
      <w:r>
        <w:rPr>
          <w:rFonts w:ascii="Times New Roman" w:hAnsi="Times New Roman" w:cs="Times New Roman"/>
          <w:sz w:val="20"/>
          <w:szCs w:val="20"/>
        </w:rPr>
        <w:t>”)</w:t>
      </w:r>
      <w:r w:rsidRPr="00067777">
        <w:rPr>
          <w:rFonts w:ascii="Times New Roman" w:hAnsi="Times New Roman" w:cs="Times New Roman"/>
          <w:sz w:val="20"/>
          <w:szCs w:val="20"/>
        </w:rPr>
        <w:t xml:space="preserve"> under the symbol </w:t>
      </w:r>
      <w:r>
        <w:rPr>
          <w:rFonts w:ascii="Times New Roman" w:hAnsi="Times New Roman" w:cs="Times New Roman"/>
          <w:sz w:val="20"/>
          <w:szCs w:val="20"/>
        </w:rPr>
        <w:t>“</w:t>
      </w:r>
      <w:r w:rsidRPr="00067777">
        <w:rPr>
          <w:rFonts w:ascii="Times New Roman" w:hAnsi="Times New Roman" w:cs="Times New Roman"/>
          <w:sz w:val="20"/>
          <w:szCs w:val="20"/>
        </w:rPr>
        <w:t>MRBL</w:t>
      </w:r>
      <w:r>
        <w:rPr>
          <w:rFonts w:ascii="Times New Roman" w:hAnsi="Times New Roman" w:cs="Times New Roman"/>
          <w:sz w:val="20"/>
          <w:szCs w:val="20"/>
        </w:rPr>
        <w:t xml:space="preserve">”, quoted on the </w:t>
      </w:r>
      <w:r w:rsidRPr="00067777">
        <w:rPr>
          <w:rFonts w:ascii="Times New Roman" w:hAnsi="Times New Roman" w:cs="Times New Roman"/>
          <w:sz w:val="20"/>
          <w:szCs w:val="20"/>
        </w:rPr>
        <w:t>OTC</w:t>
      </w:r>
      <w:r>
        <w:rPr>
          <w:rFonts w:ascii="Times New Roman" w:hAnsi="Times New Roman" w:cs="Times New Roman"/>
          <w:sz w:val="20"/>
          <w:szCs w:val="20"/>
        </w:rPr>
        <w:t xml:space="preserve"> Pink market </w:t>
      </w:r>
      <w:r w:rsidRPr="00067777">
        <w:rPr>
          <w:rFonts w:ascii="Times New Roman" w:hAnsi="Times New Roman" w:cs="Times New Roman"/>
          <w:sz w:val="20"/>
          <w:szCs w:val="20"/>
        </w:rPr>
        <w:t xml:space="preserve">under the symbol </w:t>
      </w:r>
      <w:r>
        <w:rPr>
          <w:rFonts w:ascii="Times New Roman" w:hAnsi="Times New Roman" w:cs="Times New Roman"/>
          <w:sz w:val="20"/>
          <w:szCs w:val="20"/>
        </w:rPr>
        <w:t>“</w:t>
      </w:r>
      <w:r w:rsidRPr="00067777">
        <w:rPr>
          <w:rFonts w:ascii="Times New Roman" w:hAnsi="Times New Roman" w:cs="Times New Roman"/>
          <w:sz w:val="20"/>
          <w:szCs w:val="20"/>
        </w:rPr>
        <w:t>MRBLF</w:t>
      </w:r>
      <w:r>
        <w:rPr>
          <w:rFonts w:ascii="Times New Roman" w:hAnsi="Times New Roman" w:cs="Times New Roman"/>
          <w:sz w:val="20"/>
          <w:szCs w:val="20"/>
        </w:rPr>
        <w:t xml:space="preserve">” and on the Frankfurt Stock Exchange under the symbol “2V0”. </w:t>
      </w:r>
      <w:bookmarkEnd w:id="1"/>
      <w:r w:rsidRPr="00520131">
        <w:rPr>
          <w:rFonts w:ascii="Times New Roman" w:hAnsi="Times New Roman" w:cs="Times New Roman"/>
          <w:sz w:val="20"/>
          <w:szCs w:val="20"/>
        </w:rPr>
        <w:t xml:space="preserve">The </w:t>
      </w:r>
      <w:r>
        <w:rPr>
          <w:rFonts w:ascii="Times New Roman" w:hAnsi="Times New Roman" w:cs="Times New Roman"/>
          <w:sz w:val="20"/>
          <w:szCs w:val="20"/>
        </w:rPr>
        <w:t>Company</w:t>
      </w:r>
      <w:r w:rsidRPr="00520131">
        <w:rPr>
          <w:rFonts w:ascii="Times New Roman" w:hAnsi="Times New Roman" w:cs="Times New Roman"/>
          <w:sz w:val="20"/>
          <w:szCs w:val="20"/>
        </w:rPr>
        <w:t>’s consolidated financial statements include the financial statements of the following subsidiaries:</w:t>
      </w:r>
    </w:p>
    <w:p w14:paraId="3F0F3AC0" w14:textId="77777777" w:rsidR="00193207" w:rsidRPr="00520131" w:rsidRDefault="00193207" w:rsidP="00193207">
      <w:pPr>
        <w:spacing w:after="0" w:line="240" w:lineRule="auto"/>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268"/>
        <w:gridCol w:w="1989"/>
      </w:tblGrid>
      <w:tr w:rsidR="00193207" w:rsidRPr="0040474E" w14:paraId="4E3E6B7E" w14:textId="77777777" w:rsidTr="00C42020">
        <w:tc>
          <w:tcPr>
            <w:tcW w:w="5103" w:type="dxa"/>
            <w:tcBorders>
              <w:top w:val="double" w:sz="4" w:space="0" w:color="auto"/>
              <w:bottom w:val="single" w:sz="4" w:space="0" w:color="auto"/>
            </w:tcBorders>
          </w:tcPr>
          <w:p w14:paraId="464D9FD5" w14:textId="77777777" w:rsidR="00193207" w:rsidRPr="0040474E" w:rsidRDefault="00193207" w:rsidP="00C42020">
            <w:pPr>
              <w:jc w:val="both"/>
              <w:rPr>
                <w:rFonts w:ascii="Times New Roman" w:hAnsi="Times New Roman" w:cs="Times New Roman"/>
                <w:b/>
                <w:bCs/>
                <w:sz w:val="20"/>
                <w:szCs w:val="20"/>
              </w:rPr>
            </w:pPr>
            <w:r w:rsidRPr="0040474E">
              <w:rPr>
                <w:rFonts w:ascii="Times New Roman" w:hAnsi="Times New Roman" w:cs="Times New Roman"/>
                <w:b/>
                <w:bCs/>
                <w:sz w:val="20"/>
                <w:szCs w:val="20"/>
              </w:rPr>
              <w:t>Company</w:t>
            </w:r>
          </w:p>
        </w:tc>
        <w:tc>
          <w:tcPr>
            <w:tcW w:w="2268" w:type="dxa"/>
            <w:tcBorders>
              <w:top w:val="double" w:sz="4" w:space="0" w:color="auto"/>
              <w:bottom w:val="single" w:sz="4" w:space="0" w:color="auto"/>
            </w:tcBorders>
          </w:tcPr>
          <w:p w14:paraId="2AF97E2E" w14:textId="77777777" w:rsidR="00193207" w:rsidRPr="0040474E" w:rsidRDefault="00193207" w:rsidP="00C42020">
            <w:pPr>
              <w:jc w:val="both"/>
              <w:rPr>
                <w:rFonts w:ascii="Times New Roman" w:hAnsi="Times New Roman" w:cs="Times New Roman"/>
                <w:b/>
                <w:bCs/>
                <w:sz w:val="20"/>
                <w:szCs w:val="20"/>
              </w:rPr>
            </w:pPr>
            <w:r w:rsidRPr="0040474E">
              <w:rPr>
                <w:rFonts w:ascii="Times New Roman" w:hAnsi="Times New Roman" w:cs="Times New Roman"/>
                <w:b/>
                <w:bCs/>
                <w:sz w:val="20"/>
                <w:szCs w:val="20"/>
              </w:rPr>
              <w:t>Place of Incorporation</w:t>
            </w:r>
          </w:p>
        </w:tc>
        <w:tc>
          <w:tcPr>
            <w:tcW w:w="1989" w:type="dxa"/>
            <w:tcBorders>
              <w:top w:val="double" w:sz="4" w:space="0" w:color="auto"/>
              <w:bottom w:val="single" w:sz="4" w:space="0" w:color="auto"/>
            </w:tcBorders>
          </w:tcPr>
          <w:p w14:paraId="406A6F58" w14:textId="77777777" w:rsidR="00193207" w:rsidRPr="0040474E" w:rsidRDefault="00193207" w:rsidP="00C42020">
            <w:pPr>
              <w:jc w:val="both"/>
              <w:rPr>
                <w:rFonts w:ascii="Times New Roman" w:hAnsi="Times New Roman" w:cs="Times New Roman"/>
                <w:b/>
                <w:bCs/>
                <w:sz w:val="20"/>
                <w:szCs w:val="20"/>
              </w:rPr>
            </w:pPr>
            <w:r w:rsidRPr="0040474E">
              <w:rPr>
                <w:rFonts w:ascii="Times New Roman" w:hAnsi="Times New Roman" w:cs="Times New Roman"/>
                <w:b/>
                <w:bCs/>
                <w:sz w:val="20"/>
                <w:szCs w:val="20"/>
              </w:rPr>
              <w:t>Effective Interest</w:t>
            </w:r>
          </w:p>
        </w:tc>
      </w:tr>
      <w:tr w:rsidR="00193207" w:rsidRPr="0040474E" w14:paraId="151A4105" w14:textId="77777777" w:rsidTr="00C42020">
        <w:tc>
          <w:tcPr>
            <w:tcW w:w="5103" w:type="dxa"/>
            <w:tcBorders>
              <w:top w:val="single" w:sz="4" w:space="0" w:color="auto"/>
            </w:tcBorders>
          </w:tcPr>
          <w:p w14:paraId="4BAEA986"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TPFM The Phoenix Fund Management Ltd. (</w:t>
            </w:r>
            <w:r w:rsidRPr="0040474E">
              <w:rPr>
                <w:rFonts w:ascii="Times New Roman" w:hAnsi="Times New Roman" w:cs="Times New Roman"/>
                <w:sz w:val="20"/>
                <w:szCs w:val="20"/>
              </w:rPr>
              <w:t>“TPFM”</w:t>
            </w:r>
            <w:r>
              <w:rPr>
                <w:rFonts w:ascii="Times New Roman" w:hAnsi="Times New Roman" w:cs="Times New Roman"/>
                <w:sz w:val="20"/>
                <w:szCs w:val="20"/>
              </w:rPr>
              <w:t>)</w:t>
            </w:r>
          </w:p>
        </w:tc>
        <w:tc>
          <w:tcPr>
            <w:tcW w:w="2268" w:type="dxa"/>
            <w:tcBorders>
              <w:top w:val="single" w:sz="4" w:space="0" w:color="auto"/>
            </w:tcBorders>
          </w:tcPr>
          <w:p w14:paraId="06AA50FA"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Canada</w:t>
            </w:r>
          </w:p>
        </w:tc>
        <w:tc>
          <w:tcPr>
            <w:tcW w:w="1989" w:type="dxa"/>
            <w:tcBorders>
              <w:top w:val="single" w:sz="4" w:space="0" w:color="auto"/>
            </w:tcBorders>
          </w:tcPr>
          <w:p w14:paraId="4EF12B62" w14:textId="77777777" w:rsidR="00193207" w:rsidRPr="00520131" w:rsidRDefault="00193207" w:rsidP="00C42020">
            <w:pPr>
              <w:jc w:val="both"/>
              <w:rPr>
                <w:rFonts w:ascii="Times New Roman" w:hAnsi="Times New Roman" w:cs="Times New Roman"/>
                <w:sz w:val="20"/>
                <w:szCs w:val="20"/>
              </w:rPr>
            </w:pPr>
            <w:r w:rsidRPr="00520131">
              <w:rPr>
                <w:rFonts w:ascii="Times New Roman" w:hAnsi="Times New Roman" w:cs="Times New Roman"/>
                <w:sz w:val="20"/>
                <w:szCs w:val="20"/>
              </w:rPr>
              <w:t>100%</w:t>
            </w:r>
          </w:p>
        </w:tc>
      </w:tr>
      <w:tr w:rsidR="00193207" w:rsidRPr="0040474E" w14:paraId="3DA8BAFC" w14:textId="77777777" w:rsidTr="00C42020">
        <w:tc>
          <w:tcPr>
            <w:tcW w:w="5103" w:type="dxa"/>
          </w:tcPr>
          <w:p w14:paraId="2B3D1E4E"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TPF The Phoenix Fund Inc. (</w:t>
            </w:r>
            <w:r w:rsidRPr="0040474E">
              <w:rPr>
                <w:rFonts w:ascii="Times New Roman" w:hAnsi="Times New Roman" w:cs="Times New Roman"/>
                <w:sz w:val="20"/>
                <w:szCs w:val="20"/>
              </w:rPr>
              <w:t>“TPF”</w:t>
            </w:r>
            <w:r>
              <w:rPr>
                <w:rFonts w:ascii="Times New Roman" w:hAnsi="Times New Roman" w:cs="Times New Roman"/>
                <w:sz w:val="20"/>
                <w:szCs w:val="20"/>
              </w:rPr>
              <w:t>)</w:t>
            </w:r>
          </w:p>
        </w:tc>
        <w:tc>
          <w:tcPr>
            <w:tcW w:w="2268" w:type="dxa"/>
          </w:tcPr>
          <w:p w14:paraId="62C066BB"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Canada</w:t>
            </w:r>
          </w:p>
        </w:tc>
        <w:tc>
          <w:tcPr>
            <w:tcW w:w="1989" w:type="dxa"/>
          </w:tcPr>
          <w:p w14:paraId="0A321051" w14:textId="77777777" w:rsidR="00193207" w:rsidRPr="00520131" w:rsidRDefault="00193207" w:rsidP="00C42020">
            <w:pPr>
              <w:jc w:val="both"/>
              <w:rPr>
                <w:rFonts w:ascii="Times New Roman" w:hAnsi="Times New Roman" w:cs="Times New Roman"/>
                <w:sz w:val="20"/>
                <w:szCs w:val="20"/>
              </w:rPr>
            </w:pPr>
            <w:r w:rsidRPr="00520131">
              <w:rPr>
                <w:rFonts w:ascii="Times New Roman" w:hAnsi="Times New Roman" w:cs="Times New Roman"/>
                <w:sz w:val="20"/>
                <w:szCs w:val="20"/>
              </w:rPr>
              <w:t>100%</w:t>
            </w:r>
          </w:p>
        </w:tc>
      </w:tr>
      <w:tr w:rsidR="00193207" w:rsidRPr="0040474E" w14:paraId="3AECF92E" w14:textId="77777777" w:rsidTr="002C51FD">
        <w:tc>
          <w:tcPr>
            <w:tcW w:w="5103" w:type="dxa"/>
          </w:tcPr>
          <w:p w14:paraId="0D1A1AEF" w14:textId="77777777" w:rsidR="00193207" w:rsidRPr="008E5BBF" w:rsidRDefault="00193207" w:rsidP="00C42020">
            <w:pPr>
              <w:jc w:val="both"/>
              <w:rPr>
                <w:rFonts w:ascii="Times New Roman" w:hAnsi="Times New Roman" w:cs="Times New Roman"/>
                <w:sz w:val="20"/>
                <w:szCs w:val="20"/>
              </w:rPr>
            </w:pPr>
            <w:r w:rsidRPr="008E5BBF">
              <w:rPr>
                <w:rFonts w:ascii="Times New Roman" w:hAnsi="Times New Roman" w:cs="Times New Roman"/>
                <w:sz w:val="20"/>
                <w:szCs w:val="20"/>
              </w:rPr>
              <w:t>Score-Up Inc. (“Score-Up”)</w:t>
            </w:r>
          </w:p>
        </w:tc>
        <w:tc>
          <w:tcPr>
            <w:tcW w:w="2268" w:type="dxa"/>
          </w:tcPr>
          <w:p w14:paraId="3D87FDF1"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Canada</w:t>
            </w:r>
          </w:p>
        </w:tc>
        <w:tc>
          <w:tcPr>
            <w:tcW w:w="1989" w:type="dxa"/>
          </w:tcPr>
          <w:p w14:paraId="2525EC75" w14:textId="77777777" w:rsidR="00193207" w:rsidRPr="00520131" w:rsidRDefault="00193207" w:rsidP="00C42020">
            <w:pPr>
              <w:jc w:val="both"/>
              <w:rPr>
                <w:rFonts w:ascii="Times New Roman" w:hAnsi="Times New Roman" w:cs="Times New Roman"/>
                <w:sz w:val="20"/>
                <w:szCs w:val="20"/>
              </w:rPr>
            </w:pPr>
            <w:r w:rsidRPr="00520131">
              <w:rPr>
                <w:rFonts w:ascii="Times New Roman" w:hAnsi="Times New Roman" w:cs="Times New Roman"/>
                <w:sz w:val="20"/>
                <w:szCs w:val="20"/>
              </w:rPr>
              <w:t>100%</w:t>
            </w:r>
          </w:p>
        </w:tc>
      </w:tr>
      <w:tr w:rsidR="00193207" w:rsidRPr="0040474E" w14:paraId="027E3586" w14:textId="77777777" w:rsidTr="002C51FD">
        <w:tc>
          <w:tcPr>
            <w:tcW w:w="5103" w:type="dxa"/>
          </w:tcPr>
          <w:p w14:paraId="302027CA" w14:textId="77777777" w:rsidR="00193207" w:rsidRPr="008E5BBF" w:rsidRDefault="00193207" w:rsidP="00C42020">
            <w:pPr>
              <w:jc w:val="both"/>
              <w:rPr>
                <w:rFonts w:ascii="Times New Roman" w:hAnsi="Times New Roman" w:cs="Times New Roman"/>
                <w:sz w:val="20"/>
                <w:szCs w:val="20"/>
              </w:rPr>
            </w:pPr>
            <w:r w:rsidRPr="008E5BBF">
              <w:rPr>
                <w:rFonts w:ascii="Times New Roman" w:hAnsi="Times New Roman" w:cs="Times New Roman"/>
                <w:sz w:val="20"/>
                <w:szCs w:val="20"/>
              </w:rPr>
              <w:t>Credit Meds Corp. (“Credit Meds”)</w:t>
            </w:r>
          </w:p>
        </w:tc>
        <w:tc>
          <w:tcPr>
            <w:tcW w:w="2268" w:type="dxa"/>
          </w:tcPr>
          <w:p w14:paraId="5CA32E32" w14:textId="77777777" w:rsidR="00193207" w:rsidRPr="00520131" w:rsidRDefault="00193207" w:rsidP="00C42020">
            <w:pPr>
              <w:jc w:val="both"/>
              <w:rPr>
                <w:rFonts w:ascii="Times New Roman" w:hAnsi="Times New Roman" w:cs="Times New Roman"/>
                <w:sz w:val="20"/>
                <w:szCs w:val="20"/>
              </w:rPr>
            </w:pPr>
            <w:r>
              <w:rPr>
                <w:rFonts w:ascii="Times New Roman" w:hAnsi="Times New Roman" w:cs="Times New Roman"/>
                <w:sz w:val="20"/>
                <w:szCs w:val="20"/>
              </w:rPr>
              <w:t>Canada</w:t>
            </w:r>
          </w:p>
        </w:tc>
        <w:tc>
          <w:tcPr>
            <w:tcW w:w="1989" w:type="dxa"/>
          </w:tcPr>
          <w:p w14:paraId="7B302EBE" w14:textId="77777777" w:rsidR="00193207" w:rsidRPr="00520131" w:rsidRDefault="00193207" w:rsidP="00C42020">
            <w:pPr>
              <w:jc w:val="both"/>
              <w:rPr>
                <w:rFonts w:ascii="Times New Roman" w:hAnsi="Times New Roman" w:cs="Times New Roman"/>
                <w:sz w:val="20"/>
                <w:szCs w:val="20"/>
              </w:rPr>
            </w:pPr>
            <w:r w:rsidRPr="00520131">
              <w:rPr>
                <w:rFonts w:ascii="Times New Roman" w:hAnsi="Times New Roman" w:cs="Times New Roman"/>
                <w:sz w:val="20"/>
                <w:szCs w:val="20"/>
              </w:rPr>
              <w:t>100%</w:t>
            </w:r>
          </w:p>
        </w:tc>
      </w:tr>
      <w:tr w:rsidR="002C51FD" w:rsidRPr="0040474E" w14:paraId="4FB97D69" w14:textId="77777777" w:rsidTr="00BA2C24">
        <w:tc>
          <w:tcPr>
            <w:tcW w:w="5103" w:type="dxa"/>
          </w:tcPr>
          <w:p w14:paraId="567BB09A" w14:textId="0233F85A" w:rsidR="002C51FD" w:rsidRPr="008E5BBF" w:rsidRDefault="002C51FD" w:rsidP="00BA2C24">
            <w:pPr>
              <w:jc w:val="both"/>
              <w:rPr>
                <w:rFonts w:ascii="Times New Roman" w:hAnsi="Times New Roman" w:cs="Times New Roman"/>
                <w:sz w:val="20"/>
                <w:szCs w:val="20"/>
              </w:rPr>
            </w:pPr>
            <w:proofErr w:type="spellStart"/>
            <w:r>
              <w:rPr>
                <w:rFonts w:ascii="Times New Roman" w:hAnsi="Times New Roman" w:cs="Times New Roman"/>
                <w:sz w:val="20"/>
                <w:szCs w:val="20"/>
              </w:rPr>
              <w:t>Inverite</w:t>
            </w:r>
            <w:proofErr w:type="spellEnd"/>
            <w:r>
              <w:rPr>
                <w:rFonts w:ascii="Times New Roman" w:hAnsi="Times New Roman" w:cs="Times New Roman"/>
                <w:sz w:val="20"/>
                <w:szCs w:val="20"/>
              </w:rPr>
              <w:t xml:space="preserve"> Verification Inc</w:t>
            </w:r>
            <w:r w:rsidRPr="008E5BBF">
              <w:rPr>
                <w:rFonts w:ascii="Times New Roman" w:hAnsi="Times New Roman" w:cs="Times New Roman"/>
                <w:sz w:val="20"/>
                <w:szCs w:val="20"/>
              </w:rPr>
              <w:t>. (“</w:t>
            </w:r>
            <w:proofErr w:type="spellStart"/>
            <w:r>
              <w:rPr>
                <w:rFonts w:ascii="Times New Roman" w:hAnsi="Times New Roman" w:cs="Times New Roman"/>
                <w:sz w:val="20"/>
                <w:szCs w:val="20"/>
              </w:rPr>
              <w:t>Inverite</w:t>
            </w:r>
            <w:proofErr w:type="spellEnd"/>
            <w:r w:rsidRPr="008E5BBF">
              <w:rPr>
                <w:rFonts w:ascii="Times New Roman" w:hAnsi="Times New Roman" w:cs="Times New Roman"/>
                <w:sz w:val="20"/>
                <w:szCs w:val="20"/>
              </w:rPr>
              <w:t>”)</w:t>
            </w:r>
          </w:p>
        </w:tc>
        <w:tc>
          <w:tcPr>
            <w:tcW w:w="2268" w:type="dxa"/>
          </w:tcPr>
          <w:p w14:paraId="6232E008" w14:textId="77777777" w:rsidR="002C51FD" w:rsidRPr="00520131" w:rsidRDefault="002C51FD" w:rsidP="00BA2C24">
            <w:pPr>
              <w:jc w:val="both"/>
              <w:rPr>
                <w:rFonts w:ascii="Times New Roman" w:hAnsi="Times New Roman" w:cs="Times New Roman"/>
                <w:sz w:val="20"/>
                <w:szCs w:val="20"/>
              </w:rPr>
            </w:pPr>
            <w:r>
              <w:rPr>
                <w:rFonts w:ascii="Times New Roman" w:hAnsi="Times New Roman" w:cs="Times New Roman"/>
                <w:sz w:val="20"/>
                <w:szCs w:val="20"/>
              </w:rPr>
              <w:t>Canada</w:t>
            </w:r>
          </w:p>
        </w:tc>
        <w:tc>
          <w:tcPr>
            <w:tcW w:w="1989" w:type="dxa"/>
          </w:tcPr>
          <w:p w14:paraId="54C975D0" w14:textId="77777777" w:rsidR="002C51FD" w:rsidRPr="00520131" w:rsidRDefault="002C51FD" w:rsidP="00BA2C24">
            <w:pPr>
              <w:jc w:val="both"/>
              <w:rPr>
                <w:rFonts w:ascii="Times New Roman" w:hAnsi="Times New Roman" w:cs="Times New Roman"/>
                <w:sz w:val="20"/>
                <w:szCs w:val="20"/>
              </w:rPr>
            </w:pPr>
            <w:r w:rsidRPr="00520131">
              <w:rPr>
                <w:rFonts w:ascii="Times New Roman" w:hAnsi="Times New Roman" w:cs="Times New Roman"/>
                <w:sz w:val="20"/>
                <w:szCs w:val="20"/>
              </w:rPr>
              <w:t>100%</w:t>
            </w:r>
          </w:p>
        </w:tc>
      </w:tr>
      <w:tr w:rsidR="00D774E9" w:rsidRPr="0040474E" w14:paraId="62D0B0EE" w14:textId="77777777" w:rsidTr="00A4460C">
        <w:tc>
          <w:tcPr>
            <w:tcW w:w="5103" w:type="dxa"/>
            <w:tcBorders>
              <w:bottom w:val="double" w:sz="4" w:space="0" w:color="auto"/>
            </w:tcBorders>
          </w:tcPr>
          <w:p w14:paraId="2B89F8D3" w14:textId="202F62AC" w:rsidR="00D774E9" w:rsidRPr="00A4460C" w:rsidRDefault="00D774E9" w:rsidP="00D774E9">
            <w:pPr>
              <w:jc w:val="both"/>
              <w:rPr>
                <w:rFonts w:ascii="Times New Roman" w:hAnsi="Times New Roman" w:cs="Times New Roman"/>
                <w:sz w:val="20"/>
                <w:szCs w:val="20"/>
              </w:rPr>
            </w:pPr>
            <w:r w:rsidRPr="00A4460C">
              <w:rPr>
                <w:rFonts w:ascii="Times New Roman" w:hAnsi="Times New Roman" w:cs="Times New Roman"/>
                <w:sz w:val="20"/>
                <w:szCs w:val="20"/>
              </w:rPr>
              <w:t xml:space="preserve">1301771 B.C. Ltd. </w:t>
            </w:r>
            <w:r w:rsidRPr="007B23C0">
              <w:rPr>
                <w:rFonts w:ascii="Times New Roman" w:hAnsi="Times New Roman" w:cs="Times New Roman"/>
                <w:sz w:val="20"/>
                <w:szCs w:val="20"/>
              </w:rPr>
              <w:t>(</w:t>
            </w:r>
            <w:r w:rsidRPr="00F0696B">
              <w:rPr>
                <w:rFonts w:ascii="Times New Roman" w:hAnsi="Times New Roman" w:cs="Times New Roman"/>
                <w:sz w:val="20"/>
                <w:szCs w:val="20"/>
              </w:rPr>
              <w:t>“1301771”</w:t>
            </w:r>
            <w:r w:rsidRPr="007B23C0">
              <w:rPr>
                <w:rFonts w:ascii="Times New Roman" w:hAnsi="Times New Roman" w:cs="Times New Roman"/>
                <w:sz w:val="20"/>
                <w:szCs w:val="20"/>
              </w:rPr>
              <w:t>)</w:t>
            </w:r>
          </w:p>
        </w:tc>
        <w:tc>
          <w:tcPr>
            <w:tcW w:w="2268" w:type="dxa"/>
            <w:tcBorders>
              <w:bottom w:val="double" w:sz="4" w:space="0" w:color="auto"/>
            </w:tcBorders>
          </w:tcPr>
          <w:p w14:paraId="671B79C9" w14:textId="54E91E00" w:rsidR="00D774E9" w:rsidRPr="00A4460C" w:rsidRDefault="00D774E9" w:rsidP="00D774E9">
            <w:pPr>
              <w:jc w:val="both"/>
              <w:rPr>
                <w:rFonts w:ascii="Times New Roman" w:hAnsi="Times New Roman" w:cs="Times New Roman"/>
                <w:sz w:val="20"/>
                <w:szCs w:val="20"/>
              </w:rPr>
            </w:pPr>
            <w:r w:rsidRPr="00A4460C">
              <w:rPr>
                <w:rFonts w:ascii="Times New Roman" w:hAnsi="Times New Roman" w:cs="Times New Roman"/>
                <w:sz w:val="20"/>
                <w:szCs w:val="20"/>
              </w:rPr>
              <w:t>Canada</w:t>
            </w:r>
          </w:p>
        </w:tc>
        <w:tc>
          <w:tcPr>
            <w:tcW w:w="1989" w:type="dxa"/>
            <w:tcBorders>
              <w:bottom w:val="double" w:sz="4" w:space="0" w:color="auto"/>
            </w:tcBorders>
          </w:tcPr>
          <w:p w14:paraId="241C0AA2" w14:textId="0E30C4B6" w:rsidR="00D774E9" w:rsidRPr="00A4460C" w:rsidRDefault="00D774E9" w:rsidP="00D774E9">
            <w:pPr>
              <w:jc w:val="both"/>
              <w:rPr>
                <w:rFonts w:ascii="Times New Roman" w:hAnsi="Times New Roman" w:cs="Times New Roman"/>
                <w:sz w:val="20"/>
                <w:szCs w:val="20"/>
              </w:rPr>
            </w:pPr>
            <w:r w:rsidRPr="00A4460C">
              <w:rPr>
                <w:rFonts w:ascii="Times New Roman" w:hAnsi="Times New Roman" w:cs="Times New Roman"/>
                <w:sz w:val="20"/>
                <w:szCs w:val="20"/>
              </w:rPr>
              <w:t>100%</w:t>
            </w:r>
          </w:p>
        </w:tc>
      </w:tr>
      <w:tr w:rsidR="00193207" w:rsidRPr="0040474E" w14:paraId="161EA68C" w14:textId="77777777" w:rsidTr="00C42020">
        <w:tc>
          <w:tcPr>
            <w:tcW w:w="5103" w:type="dxa"/>
            <w:tcBorders>
              <w:top w:val="double" w:sz="4" w:space="0" w:color="auto"/>
            </w:tcBorders>
          </w:tcPr>
          <w:p w14:paraId="3ED80AF4" w14:textId="77777777" w:rsidR="00193207" w:rsidRPr="00520131" w:rsidRDefault="00193207" w:rsidP="00C42020">
            <w:pPr>
              <w:jc w:val="both"/>
              <w:rPr>
                <w:rFonts w:ascii="Times New Roman" w:hAnsi="Times New Roman" w:cs="Times New Roman"/>
                <w:sz w:val="20"/>
                <w:szCs w:val="20"/>
              </w:rPr>
            </w:pPr>
          </w:p>
        </w:tc>
        <w:tc>
          <w:tcPr>
            <w:tcW w:w="2268" w:type="dxa"/>
            <w:tcBorders>
              <w:top w:val="double" w:sz="4" w:space="0" w:color="auto"/>
            </w:tcBorders>
          </w:tcPr>
          <w:p w14:paraId="0129121B" w14:textId="77777777" w:rsidR="00193207" w:rsidRPr="00520131" w:rsidRDefault="00193207" w:rsidP="00C42020">
            <w:pPr>
              <w:jc w:val="both"/>
              <w:rPr>
                <w:rFonts w:ascii="Times New Roman" w:hAnsi="Times New Roman" w:cs="Times New Roman"/>
                <w:sz w:val="20"/>
                <w:szCs w:val="20"/>
              </w:rPr>
            </w:pPr>
          </w:p>
        </w:tc>
        <w:tc>
          <w:tcPr>
            <w:tcW w:w="1989" w:type="dxa"/>
            <w:tcBorders>
              <w:top w:val="double" w:sz="4" w:space="0" w:color="auto"/>
            </w:tcBorders>
          </w:tcPr>
          <w:p w14:paraId="1FA849A9" w14:textId="77777777" w:rsidR="00193207" w:rsidRPr="00520131" w:rsidRDefault="00193207" w:rsidP="00C42020">
            <w:pPr>
              <w:jc w:val="both"/>
              <w:rPr>
                <w:rFonts w:ascii="Times New Roman" w:hAnsi="Times New Roman" w:cs="Times New Roman"/>
                <w:sz w:val="20"/>
                <w:szCs w:val="20"/>
              </w:rPr>
            </w:pPr>
          </w:p>
        </w:tc>
      </w:tr>
    </w:tbl>
    <w:p w14:paraId="05DFD9C9" w14:textId="199CCCB2" w:rsidR="00D774E9" w:rsidRDefault="00D774E9" w:rsidP="00193207">
      <w:pPr>
        <w:spacing w:after="0" w:line="240" w:lineRule="auto"/>
        <w:jc w:val="both"/>
        <w:rPr>
          <w:rFonts w:ascii="Times New Roman" w:hAnsi="Times New Roman" w:cs="Times New Roman"/>
          <w:sz w:val="20"/>
          <w:szCs w:val="20"/>
        </w:rPr>
      </w:pPr>
      <w:r w:rsidRPr="00D774E9">
        <w:rPr>
          <w:rFonts w:ascii="Times New Roman" w:hAnsi="Times New Roman" w:cs="Times New Roman"/>
          <w:sz w:val="20"/>
          <w:szCs w:val="20"/>
        </w:rPr>
        <w:t xml:space="preserve">On April 23, 2021, 1301771 B.C. Ltd. was incorporated under the BCBCA as a special purpose vehicle whose business and undertaking </w:t>
      </w:r>
      <w:proofErr w:type="gramStart"/>
      <w:r w:rsidRPr="00D774E9">
        <w:rPr>
          <w:rFonts w:ascii="Times New Roman" w:hAnsi="Times New Roman" w:cs="Times New Roman"/>
          <w:sz w:val="20"/>
          <w:szCs w:val="20"/>
        </w:rPr>
        <w:t>is</w:t>
      </w:r>
      <w:proofErr w:type="gramEnd"/>
      <w:r w:rsidRPr="00D774E9">
        <w:rPr>
          <w:rFonts w:ascii="Times New Roman" w:hAnsi="Times New Roman" w:cs="Times New Roman"/>
          <w:sz w:val="20"/>
          <w:szCs w:val="20"/>
        </w:rPr>
        <w:t xml:space="preserve"> restricted to the origination, funding and financing of consumer loan assets, together with such other activities as may be reasonably required or advisable in connection therewith.  1301771 was created for the purposes of procuring financing for Fast-Track Loans originated by TPFM and thereafter receiving an assignment of the Fast-Track Loans and holding them as collateral for a security interest provided to the lenders.</w:t>
      </w:r>
    </w:p>
    <w:p w14:paraId="1D4BF3BD" w14:textId="77777777" w:rsidR="00D774E9" w:rsidRDefault="00D774E9" w:rsidP="00193207">
      <w:pPr>
        <w:spacing w:after="0" w:line="240" w:lineRule="auto"/>
        <w:jc w:val="both"/>
        <w:rPr>
          <w:rFonts w:ascii="Times New Roman" w:hAnsi="Times New Roman" w:cs="Times New Roman"/>
          <w:sz w:val="20"/>
          <w:szCs w:val="20"/>
        </w:rPr>
      </w:pPr>
    </w:p>
    <w:p w14:paraId="30E81925" w14:textId="01AB085C" w:rsidR="00193207" w:rsidRDefault="00193207" w:rsidP="00193207">
      <w:pPr>
        <w:spacing w:after="0" w:line="240" w:lineRule="auto"/>
        <w:jc w:val="both"/>
        <w:rPr>
          <w:rFonts w:ascii="Times New Roman" w:hAnsi="Times New Roman" w:cs="Times New Roman"/>
          <w:sz w:val="20"/>
          <w:szCs w:val="20"/>
        </w:rPr>
      </w:pPr>
      <w:r w:rsidRPr="00F624EC">
        <w:rPr>
          <w:rFonts w:ascii="Times New Roman" w:hAnsi="Times New Roman" w:cs="Times New Roman"/>
          <w:sz w:val="20"/>
          <w:szCs w:val="20"/>
        </w:rPr>
        <w:t xml:space="preserve">As </w:t>
      </w:r>
      <w:proofErr w:type="gramStart"/>
      <w:r w:rsidRPr="00F624EC">
        <w:rPr>
          <w:rFonts w:ascii="Times New Roman" w:hAnsi="Times New Roman" w:cs="Times New Roman"/>
          <w:sz w:val="20"/>
          <w:szCs w:val="20"/>
        </w:rPr>
        <w:t>at</w:t>
      </w:r>
      <w:proofErr w:type="gramEnd"/>
      <w:r w:rsidRPr="00F624EC">
        <w:rPr>
          <w:rFonts w:ascii="Times New Roman" w:hAnsi="Times New Roman" w:cs="Times New Roman"/>
          <w:sz w:val="20"/>
          <w:szCs w:val="20"/>
        </w:rPr>
        <w:t xml:space="preserve"> </w:t>
      </w:r>
      <w:r w:rsidR="006A4DDD">
        <w:rPr>
          <w:rFonts w:ascii="Times New Roman" w:hAnsi="Times New Roman" w:cs="Times New Roman"/>
          <w:sz w:val="20"/>
          <w:szCs w:val="20"/>
        </w:rPr>
        <w:t>June 30</w:t>
      </w:r>
      <w:r>
        <w:rPr>
          <w:rFonts w:ascii="Times New Roman" w:hAnsi="Times New Roman" w:cs="Times New Roman"/>
          <w:sz w:val="20"/>
          <w:szCs w:val="20"/>
        </w:rPr>
        <w:t>, 2021</w:t>
      </w:r>
      <w:r w:rsidRPr="00F624EC">
        <w:rPr>
          <w:rFonts w:ascii="Times New Roman" w:hAnsi="Times New Roman" w:cs="Times New Roman"/>
          <w:sz w:val="20"/>
          <w:szCs w:val="20"/>
        </w:rPr>
        <w:t>,</w:t>
      </w:r>
      <w:r>
        <w:rPr>
          <w:rFonts w:ascii="Times New Roman" w:hAnsi="Times New Roman" w:cs="Times New Roman"/>
          <w:sz w:val="20"/>
          <w:szCs w:val="20"/>
        </w:rPr>
        <w:t xml:space="preserve"> t</w:t>
      </w:r>
      <w:r w:rsidRPr="00356867">
        <w:rPr>
          <w:rFonts w:ascii="Times New Roman" w:hAnsi="Times New Roman" w:cs="Times New Roman"/>
          <w:sz w:val="20"/>
          <w:szCs w:val="20"/>
        </w:rPr>
        <w:t xml:space="preserve">he </w:t>
      </w:r>
      <w:r>
        <w:rPr>
          <w:rFonts w:ascii="Times New Roman" w:hAnsi="Times New Roman" w:cs="Times New Roman"/>
          <w:sz w:val="20"/>
          <w:szCs w:val="20"/>
        </w:rPr>
        <w:t>Company</w:t>
      </w:r>
      <w:r w:rsidRPr="00356867">
        <w:rPr>
          <w:rFonts w:ascii="Times New Roman" w:hAnsi="Times New Roman" w:cs="Times New Roman"/>
          <w:sz w:val="20"/>
          <w:szCs w:val="20"/>
        </w:rPr>
        <w:t xml:space="preserve"> ha</w:t>
      </w:r>
      <w:r>
        <w:rPr>
          <w:rFonts w:ascii="Times New Roman" w:hAnsi="Times New Roman" w:cs="Times New Roman"/>
          <w:sz w:val="20"/>
          <w:szCs w:val="20"/>
        </w:rPr>
        <w:t>d a</w:t>
      </w:r>
      <w:r w:rsidRPr="00356867">
        <w:rPr>
          <w:rFonts w:ascii="Times New Roman" w:hAnsi="Times New Roman" w:cs="Times New Roman"/>
          <w:sz w:val="20"/>
          <w:szCs w:val="20"/>
        </w:rPr>
        <w:t xml:space="preserve"> shareholders’ </w:t>
      </w:r>
      <w:r>
        <w:rPr>
          <w:rFonts w:ascii="Times New Roman" w:hAnsi="Times New Roman" w:cs="Times New Roman"/>
          <w:sz w:val="20"/>
          <w:szCs w:val="20"/>
        </w:rPr>
        <w:t>deficiency</w:t>
      </w:r>
      <w:r w:rsidRPr="00356867">
        <w:rPr>
          <w:rFonts w:ascii="Times New Roman" w:hAnsi="Times New Roman" w:cs="Times New Roman"/>
          <w:sz w:val="20"/>
          <w:szCs w:val="20"/>
        </w:rPr>
        <w:t xml:space="preserve"> of </w:t>
      </w:r>
      <w:r w:rsidRPr="001856B2">
        <w:rPr>
          <w:rFonts w:ascii="Times New Roman" w:hAnsi="Times New Roman" w:cs="Times New Roman"/>
          <w:sz w:val="20"/>
          <w:szCs w:val="20"/>
        </w:rPr>
        <w:t>$</w:t>
      </w:r>
      <w:r w:rsidR="002C51FD">
        <w:rPr>
          <w:rFonts w:ascii="Times New Roman" w:hAnsi="Times New Roman" w:cs="Times New Roman"/>
          <w:sz w:val="20"/>
          <w:szCs w:val="20"/>
        </w:rPr>
        <w:t>2,</w:t>
      </w:r>
      <w:r w:rsidR="009A307E">
        <w:rPr>
          <w:rFonts w:ascii="Times New Roman" w:hAnsi="Times New Roman" w:cs="Times New Roman"/>
          <w:sz w:val="20"/>
          <w:szCs w:val="20"/>
        </w:rPr>
        <w:t>871,490</w:t>
      </w:r>
      <w:r w:rsidRPr="00F624EC">
        <w:rPr>
          <w:rFonts w:ascii="Times New Roman" w:hAnsi="Times New Roman" w:cs="Times New Roman"/>
          <w:sz w:val="20"/>
          <w:szCs w:val="20"/>
        </w:rPr>
        <w:t xml:space="preserve"> (</w:t>
      </w:r>
      <w:r w:rsidR="00264753">
        <w:rPr>
          <w:rFonts w:ascii="Times New Roman" w:hAnsi="Times New Roman" w:cs="Times New Roman"/>
          <w:sz w:val="20"/>
          <w:szCs w:val="20"/>
        </w:rPr>
        <w:t xml:space="preserve">December 31, </w:t>
      </w:r>
      <w:r w:rsidRPr="00F624EC">
        <w:rPr>
          <w:rFonts w:ascii="Times New Roman" w:hAnsi="Times New Roman" w:cs="Times New Roman"/>
          <w:sz w:val="20"/>
          <w:szCs w:val="20"/>
        </w:rPr>
        <w:t>20</w:t>
      </w:r>
      <w:r>
        <w:rPr>
          <w:rFonts w:ascii="Times New Roman" w:hAnsi="Times New Roman" w:cs="Times New Roman"/>
          <w:sz w:val="20"/>
          <w:szCs w:val="20"/>
        </w:rPr>
        <w:t>20</w:t>
      </w:r>
      <w:r w:rsidRPr="00F624EC">
        <w:rPr>
          <w:rFonts w:ascii="Times New Roman" w:hAnsi="Times New Roman" w:cs="Times New Roman"/>
          <w:sz w:val="20"/>
          <w:szCs w:val="20"/>
        </w:rPr>
        <w:t xml:space="preserve"> – $</w:t>
      </w:r>
      <w:r>
        <w:rPr>
          <w:rFonts w:ascii="Times New Roman" w:hAnsi="Times New Roman" w:cs="Times New Roman"/>
          <w:sz w:val="20"/>
          <w:szCs w:val="20"/>
        </w:rPr>
        <w:t>2</w:t>
      </w:r>
      <w:r w:rsidRPr="00F624EC">
        <w:rPr>
          <w:rFonts w:ascii="Times New Roman" w:hAnsi="Times New Roman" w:cs="Times New Roman"/>
          <w:sz w:val="20"/>
          <w:szCs w:val="20"/>
        </w:rPr>
        <w:t>,</w:t>
      </w:r>
      <w:r>
        <w:rPr>
          <w:rFonts w:ascii="Times New Roman" w:hAnsi="Times New Roman" w:cs="Times New Roman"/>
          <w:sz w:val="20"/>
          <w:szCs w:val="20"/>
        </w:rPr>
        <w:t>187,901</w:t>
      </w:r>
      <w:r w:rsidRPr="00F624EC">
        <w:rPr>
          <w:rFonts w:ascii="Times New Roman" w:hAnsi="Times New Roman" w:cs="Times New Roman"/>
          <w:sz w:val="20"/>
          <w:szCs w:val="20"/>
        </w:rPr>
        <w:t>)</w:t>
      </w:r>
      <w:r>
        <w:rPr>
          <w:rFonts w:ascii="Times New Roman" w:hAnsi="Times New Roman" w:cs="Times New Roman"/>
          <w:sz w:val="20"/>
          <w:szCs w:val="20"/>
        </w:rPr>
        <w:t xml:space="preserve"> </w:t>
      </w:r>
      <w:r w:rsidRPr="00356867">
        <w:rPr>
          <w:rFonts w:ascii="Times New Roman" w:hAnsi="Times New Roman" w:cs="Times New Roman"/>
          <w:sz w:val="20"/>
          <w:szCs w:val="20"/>
        </w:rPr>
        <w:t>and an accumulated deficit o</w:t>
      </w:r>
      <w:r w:rsidRPr="001856B2">
        <w:rPr>
          <w:rFonts w:ascii="Times New Roman" w:hAnsi="Times New Roman" w:cs="Times New Roman"/>
          <w:sz w:val="20"/>
          <w:szCs w:val="20"/>
        </w:rPr>
        <w:t>f $</w:t>
      </w:r>
      <w:r w:rsidR="009A307E">
        <w:rPr>
          <w:rFonts w:ascii="Times New Roman" w:hAnsi="Times New Roman" w:cs="Times New Roman"/>
          <w:sz w:val="20"/>
          <w:szCs w:val="20"/>
        </w:rPr>
        <w:t>13,889,761</w:t>
      </w:r>
      <w:r w:rsidRPr="00F624EC">
        <w:rPr>
          <w:rFonts w:ascii="Times New Roman" w:hAnsi="Times New Roman" w:cs="Times New Roman"/>
          <w:sz w:val="20"/>
          <w:szCs w:val="20"/>
        </w:rPr>
        <w:t xml:space="preserve"> </w:t>
      </w:r>
      <w:r w:rsidRPr="001D2DFC">
        <w:rPr>
          <w:rFonts w:ascii="Times New Roman" w:hAnsi="Times New Roman" w:cs="Times New Roman"/>
          <w:sz w:val="20"/>
          <w:szCs w:val="20"/>
        </w:rPr>
        <w:t>(</w:t>
      </w:r>
      <w:r w:rsidR="00264753">
        <w:rPr>
          <w:rFonts w:ascii="Times New Roman" w:hAnsi="Times New Roman" w:cs="Times New Roman"/>
          <w:sz w:val="20"/>
          <w:szCs w:val="20"/>
        </w:rPr>
        <w:t xml:space="preserve">December 31, </w:t>
      </w:r>
      <w:r w:rsidRPr="001D2DFC">
        <w:rPr>
          <w:rFonts w:ascii="Times New Roman" w:hAnsi="Times New Roman" w:cs="Times New Roman"/>
          <w:sz w:val="20"/>
          <w:szCs w:val="20"/>
        </w:rPr>
        <w:t>20</w:t>
      </w:r>
      <w:r>
        <w:rPr>
          <w:rFonts w:ascii="Times New Roman" w:hAnsi="Times New Roman" w:cs="Times New Roman"/>
          <w:sz w:val="20"/>
          <w:szCs w:val="20"/>
        </w:rPr>
        <w:t>20</w:t>
      </w:r>
      <w:r w:rsidRPr="001D2D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24EC">
        <w:rPr>
          <w:rFonts w:ascii="Times New Roman" w:hAnsi="Times New Roman" w:cs="Times New Roman"/>
          <w:sz w:val="20"/>
          <w:szCs w:val="20"/>
        </w:rPr>
        <w:t>$1</w:t>
      </w:r>
      <w:r>
        <w:rPr>
          <w:rFonts w:ascii="Times New Roman" w:hAnsi="Times New Roman" w:cs="Times New Roman"/>
          <w:sz w:val="20"/>
          <w:szCs w:val="20"/>
        </w:rPr>
        <w:t>1</w:t>
      </w:r>
      <w:r w:rsidRPr="00F624EC">
        <w:rPr>
          <w:rFonts w:ascii="Times New Roman" w:hAnsi="Times New Roman" w:cs="Times New Roman"/>
          <w:sz w:val="20"/>
          <w:szCs w:val="20"/>
        </w:rPr>
        <w:t>,</w:t>
      </w:r>
      <w:r>
        <w:rPr>
          <w:rFonts w:ascii="Times New Roman" w:hAnsi="Times New Roman" w:cs="Times New Roman"/>
          <w:sz w:val="20"/>
          <w:szCs w:val="20"/>
        </w:rPr>
        <w:t>237,964</w:t>
      </w:r>
      <w:r w:rsidRPr="001D2DFC">
        <w:rPr>
          <w:rFonts w:ascii="Times New Roman" w:hAnsi="Times New Roman" w:cs="Times New Roman"/>
          <w:sz w:val="20"/>
          <w:szCs w:val="20"/>
        </w:rPr>
        <w:t xml:space="preserve">) and therefore will need ongoing funding to continue its operations.  There is no assurance that additional funding will be available on a timely basis or on terms acceptable to the </w:t>
      </w:r>
      <w:r>
        <w:rPr>
          <w:rFonts w:ascii="Times New Roman" w:hAnsi="Times New Roman" w:cs="Times New Roman"/>
          <w:sz w:val="20"/>
          <w:szCs w:val="20"/>
        </w:rPr>
        <w:t>Company</w:t>
      </w:r>
      <w:r w:rsidRPr="001D2DFC">
        <w:rPr>
          <w:rFonts w:ascii="Times New Roman" w:hAnsi="Times New Roman" w:cs="Times New Roman"/>
          <w:sz w:val="20"/>
          <w:szCs w:val="20"/>
        </w:rPr>
        <w:t xml:space="preserve">. If the </w:t>
      </w:r>
      <w:r>
        <w:rPr>
          <w:rFonts w:ascii="Times New Roman" w:hAnsi="Times New Roman" w:cs="Times New Roman"/>
          <w:sz w:val="20"/>
          <w:szCs w:val="20"/>
        </w:rPr>
        <w:t>Company</w:t>
      </w:r>
      <w:r w:rsidRPr="001D2DFC">
        <w:rPr>
          <w:rFonts w:ascii="Times New Roman" w:hAnsi="Times New Roman" w:cs="Times New Roman"/>
          <w:sz w:val="20"/>
          <w:szCs w:val="20"/>
        </w:rPr>
        <w:t xml:space="preserve"> is unable to obtain sufficient funding, the ability of the </w:t>
      </w:r>
      <w:r>
        <w:rPr>
          <w:rFonts w:ascii="Times New Roman" w:hAnsi="Times New Roman" w:cs="Times New Roman"/>
          <w:sz w:val="20"/>
          <w:szCs w:val="20"/>
        </w:rPr>
        <w:t>Company</w:t>
      </w:r>
      <w:r w:rsidRPr="001D2DFC">
        <w:rPr>
          <w:rFonts w:ascii="Times New Roman" w:hAnsi="Times New Roman" w:cs="Times New Roman"/>
          <w:sz w:val="20"/>
          <w:szCs w:val="20"/>
        </w:rPr>
        <w:t xml:space="preserve"> to meet its obligations as they come due and, accordingly, the appropriateness of the use of the going concern accounting principle will be in significant doubt.  The</w:t>
      </w:r>
      <w:r>
        <w:rPr>
          <w:rFonts w:ascii="Times New Roman" w:hAnsi="Times New Roman" w:cs="Times New Roman"/>
          <w:sz w:val="20"/>
          <w:szCs w:val="20"/>
        </w:rPr>
        <w:t xml:space="preserve"> condensed consolidated interim </w:t>
      </w:r>
      <w:r w:rsidRPr="001D2DFC">
        <w:rPr>
          <w:rFonts w:ascii="Times New Roman" w:hAnsi="Times New Roman" w:cs="Times New Roman"/>
          <w:sz w:val="20"/>
          <w:szCs w:val="20"/>
        </w:rPr>
        <w:t xml:space="preserve">financial statements have been prepared </w:t>
      </w:r>
      <w:proofErr w:type="gramStart"/>
      <w:r w:rsidRPr="001D2DFC">
        <w:rPr>
          <w:rFonts w:ascii="Times New Roman" w:hAnsi="Times New Roman" w:cs="Times New Roman"/>
          <w:sz w:val="20"/>
          <w:szCs w:val="20"/>
        </w:rPr>
        <w:t>on the basis of</w:t>
      </w:r>
      <w:proofErr w:type="gramEnd"/>
      <w:r w:rsidRPr="001D2DFC">
        <w:rPr>
          <w:rFonts w:ascii="Times New Roman" w:hAnsi="Times New Roman" w:cs="Times New Roman"/>
          <w:sz w:val="20"/>
          <w:szCs w:val="20"/>
        </w:rPr>
        <w:t xml:space="preserve"> a going concern which assumes the </w:t>
      </w:r>
      <w:r>
        <w:rPr>
          <w:rFonts w:ascii="Times New Roman" w:hAnsi="Times New Roman" w:cs="Times New Roman"/>
          <w:sz w:val="20"/>
          <w:szCs w:val="20"/>
        </w:rPr>
        <w:t>Company</w:t>
      </w:r>
      <w:r w:rsidRPr="001D2DFC">
        <w:rPr>
          <w:rFonts w:ascii="Times New Roman" w:hAnsi="Times New Roman" w:cs="Times New Roman"/>
          <w:sz w:val="20"/>
          <w:szCs w:val="20"/>
        </w:rPr>
        <w:t xml:space="preserve"> will be able to realize its assets and discharge its liabilities in the normal course of business.  The </w:t>
      </w:r>
      <w:r>
        <w:rPr>
          <w:rFonts w:ascii="Times New Roman" w:hAnsi="Times New Roman" w:cs="Times New Roman"/>
          <w:sz w:val="20"/>
          <w:szCs w:val="20"/>
        </w:rPr>
        <w:t>condensed consolidated interim</w:t>
      </w:r>
      <w:r w:rsidRPr="001D2DFC">
        <w:rPr>
          <w:rFonts w:ascii="Times New Roman" w:hAnsi="Times New Roman" w:cs="Times New Roman"/>
          <w:sz w:val="20"/>
          <w:szCs w:val="20"/>
        </w:rPr>
        <w:t xml:space="preserve"> financial statements do not reflect the adjustments or reclassification which would be necessary if the </w:t>
      </w:r>
      <w:r>
        <w:rPr>
          <w:rFonts w:ascii="Times New Roman" w:hAnsi="Times New Roman" w:cs="Times New Roman"/>
          <w:sz w:val="20"/>
          <w:szCs w:val="20"/>
        </w:rPr>
        <w:t>Company</w:t>
      </w:r>
      <w:r w:rsidRPr="001D2DFC">
        <w:rPr>
          <w:rFonts w:ascii="Times New Roman" w:hAnsi="Times New Roman" w:cs="Times New Roman"/>
          <w:sz w:val="20"/>
          <w:szCs w:val="20"/>
        </w:rPr>
        <w:t xml:space="preserve"> were unable to continue its operations in the normal course of business.</w:t>
      </w:r>
    </w:p>
    <w:p w14:paraId="2EAC8CF9" w14:textId="18D7AB46" w:rsidR="0040474E" w:rsidRDefault="0040474E" w:rsidP="009D4388">
      <w:pPr>
        <w:spacing w:after="0" w:line="240" w:lineRule="auto"/>
        <w:jc w:val="both"/>
        <w:rPr>
          <w:rFonts w:ascii="Times New Roman" w:hAnsi="Times New Roman" w:cs="Times New Roman"/>
          <w:bCs/>
          <w:sz w:val="20"/>
          <w:szCs w:val="20"/>
        </w:rPr>
      </w:pPr>
    </w:p>
    <w:p w14:paraId="0AC22FFF" w14:textId="72CE394D" w:rsidR="00571BFC" w:rsidRDefault="00C6663A" w:rsidP="009D4388">
      <w:pPr>
        <w:spacing w:after="0" w:line="240" w:lineRule="auto"/>
        <w:jc w:val="both"/>
        <w:rPr>
          <w:rFonts w:ascii="Times New Roman" w:hAnsi="Times New Roman" w:cs="Times New Roman"/>
          <w:b/>
          <w:sz w:val="20"/>
          <w:szCs w:val="20"/>
        </w:rPr>
      </w:pPr>
      <w:r w:rsidRPr="00997E01">
        <w:rPr>
          <w:rFonts w:ascii="Times New Roman" w:hAnsi="Times New Roman" w:cs="Times New Roman"/>
          <w:b/>
          <w:sz w:val="20"/>
          <w:szCs w:val="20"/>
        </w:rPr>
        <w:t xml:space="preserve">HIGHLIGHTS AND </w:t>
      </w:r>
      <w:bookmarkEnd w:id="0"/>
      <w:r w:rsidR="009D6D5E" w:rsidRPr="00997E01">
        <w:rPr>
          <w:rFonts w:ascii="Times New Roman" w:hAnsi="Times New Roman" w:cs="Times New Roman"/>
          <w:b/>
          <w:sz w:val="20"/>
          <w:szCs w:val="20"/>
        </w:rPr>
        <w:t>OVERALL PERFORMANCE</w:t>
      </w:r>
    </w:p>
    <w:p w14:paraId="3737BD20" w14:textId="25E2E506" w:rsidR="00FE356C" w:rsidRDefault="00FE356C" w:rsidP="009D4388">
      <w:pPr>
        <w:spacing w:after="0" w:line="240" w:lineRule="auto"/>
        <w:jc w:val="both"/>
        <w:rPr>
          <w:rFonts w:ascii="Times New Roman" w:hAnsi="Times New Roman" w:cs="Times New Roman"/>
          <w:sz w:val="20"/>
          <w:szCs w:val="20"/>
        </w:rPr>
      </w:pPr>
      <w:bookmarkStart w:id="2" w:name="_Hlk523117866"/>
    </w:p>
    <w:p w14:paraId="0C78F0F2" w14:textId="64E85DB5" w:rsidR="0075538B" w:rsidRDefault="0075538B" w:rsidP="009D43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Highlights during and subsequent to the </w:t>
      </w:r>
      <w:r w:rsidR="006A4DDD">
        <w:rPr>
          <w:rFonts w:ascii="Times New Roman" w:hAnsi="Times New Roman" w:cs="Times New Roman"/>
          <w:sz w:val="20"/>
          <w:szCs w:val="20"/>
        </w:rPr>
        <w:t>six months</w:t>
      </w:r>
      <w:r w:rsidR="00264753">
        <w:rPr>
          <w:rFonts w:ascii="Times New Roman" w:hAnsi="Times New Roman" w:cs="Times New Roman"/>
          <w:sz w:val="20"/>
          <w:szCs w:val="20"/>
        </w:rPr>
        <w:t xml:space="preserve"> </w:t>
      </w:r>
      <w:r>
        <w:rPr>
          <w:rFonts w:ascii="Times New Roman" w:hAnsi="Times New Roman" w:cs="Times New Roman"/>
          <w:sz w:val="20"/>
          <w:szCs w:val="20"/>
        </w:rPr>
        <w:t>ended</w:t>
      </w:r>
      <w:r w:rsidR="002C0C1E">
        <w:rPr>
          <w:rFonts w:ascii="Times New Roman" w:hAnsi="Times New Roman" w:cs="Times New Roman"/>
          <w:sz w:val="20"/>
          <w:szCs w:val="20"/>
        </w:rPr>
        <w:t xml:space="preserve"> </w:t>
      </w:r>
      <w:r w:rsidR="006A4DDD">
        <w:rPr>
          <w:rFonts w:ascii="Times New Roman" w:hAnsi="Times New Roman" w:cs="Times New Roman"/>
          <w:sz w:val="20"/>
          <w:szCs w:val="20"/>
        </w:rPr>
        <w:t>June 30</w:t>
      </w:r>
      <w:r>
        <w:rPr>
          <w:rFonts w:ascii="Times New Roman" w:hAnsi="Times New Roman" w:cs="Times New Roman"/>
          <w:sz w:val="20"/>
          <w:szCs w:val="20"/>
        </w:rPr>
        <w:t xml:space="preserve">, </w:t>
      </w:r>
      <w:proofErr w:type="gramStart"/>
      <w:r>
        <w:rPr>
          <w:rFonts w:ascii="Times New Roman" w:hAnsi="Times New Roman" w:cs="Times New Roman"/>
          <w:sz w:val="20"/>
          <w:szCs w:val="20"/>
        </w:rPr>
        <w:t>20</w:t>
      </w:r>
      <w:r w:rsidR="00AF1007">
        <w:rPr>
          <w:rFonts w:ascii="Times New Roman" w:hAnsi="Times New Roman" w:cs="Times New Roman"/>
          <w:sz w:val="20"/>
          <w:szCs w:val="20"/>
        </w:rPr>
        <w:t>2</w:t>
      </w:r>
      <w:r w:rsidR="00193207">
        <w:rPr>
          <w:rFonts w:ascii="Times New Roman" w:hAnsi="Times New Roman" w:cs="Times New Roman"/>
          <w:sz w:val="20"/>
          <w:szCs w:val="20"/>
        </w:rPr>
        <w:t>1</w:t>
      </w:r>
      <w:proofErr w:type="gramEnd"/>
      <w:r>
        <w:rPr>
          <w:rFonts w:ascii="Times New Roman" w:hAnsi="Times New Roman" w:cs="Times New Roman"/>
          <w:sz w:val="20"/>
          <w:szCs w:val="20"/>
        </w:rPr>
        <w:t xml:space="preserve"> include:</w:t>
      </w:r>
    </w:p>
    <w:p w14:paraId="098B713D" w14:textId="7A6C6B83" w:rsidR="00193207" w:rsidRDefault="00193207" w:rsidP="00193207">
      <w:pPr>
        <w:pStyle w:val="ListParagraph"/>
        <w:spacing w:after="0" w:line="240" w:lineRule="auto"/>
        <w:ind w:left="567"/>
        <w:jc w:val="both"/>
        <w:rPr>
          <w:rFonts w:ascii="Times New Roman" w:hAnsi="Times New Roman" w:cs="Times New Roman"/>
          <w:sz w:val="20"/>
          <w:szCs w:val="20"/>
          <w:highlight w:val="yellow"/>
        </w:rPr>
      </w:pPr>
    </w:p>
    <w:p w14:paraId="40EC230F" w14:textId="27D6D55E" w:rsidR="007B23C0" w:rsidRPr="00F0696B" w:rsidRDefault="007B23C0" w:rsidP="00F0696B">
      <w:pPr>
        <w:pStyle w:val="ListParagraph"/>
        <w:numPr>
          <w:ilvl w:val="0"/>
          <w:numId w:val="15"/>
        </w:numPr>
        <w:jc w:val="both"/>
        <w:rPr>
          <w:sz w:val="20"/>
          <w:szCs w:val="20"/>
        </w:rPr>
      </w:pPr>
      <w:r w:rsidRPr="00F0696B">
        <w:rPr>
          <w:rFonts w:ascii="Times New Roman" w:hAnsi="Times New Roman" w:cs="Times New Roman"/>
          <w:b/>
          <w:bCs/>
          <w:sz w:val="20"/>
          <w:szCs w:val="20"/>
        </w:rPr>
        <w:t xml:space="preserve">August 27, 2021 </w:t>
      </w:r>
      <w:r w:rsidRPr="00F0696B">
        <w:rPr>
          <w:rFonts w:ascii="Times New Roman" w:hAnsi="Times New Roman" w:cs="Times New Roman"/>
          <w:sz w:val="20"/>
          <w:szCs w:val="20"/>
        </w:rPr>
        <w:t xml:space="preserve">– </w:t>
      </w:r>
      <w:r>
        <w:rPr>
          <w:rFonts w:ascii="Times New Roman" w:hAnsi="Times New Roman" w:cs="Times New Roman"/>
          <w:sz w:val="20"/>
          <w:szCs w:val="20"/>
        </w:rPr>
        <w:t>On</w:t>
      </w:r>
      <w:r w:rsidRPr="00F0696B">
        <w:rPr>
          <w:rFonts w:ascii="Times New Roman" w:hAnsi="Times New Roman" w:cs="Times New Roman"/>
          <w:sz w:val="20"/>
          <w:szCs w:val="20"/>
        </w:rPr>
        <w:t xml:space="preserve"> August</w:t>
      </w:r>
      <w:r>
        <w:rPr>
          <w:rFonts w:ascii="Times New Roman" w:hAnsi="Times New Roman" w:cs="Times New Roman"/>
          <w:sz w:val="20"/>
          <w:szCs w:val="20"/>
        </w:rPr>
        <w:t xml:space="preserve"> 27</w:t>
      </w:r>
      <w:r w:rsidRPr="00F0696B">
        <w:rPr>
          <w:rFonts w:ascii="Times New Roman" w:hAnsi="Times New Roman" w:cs="Times New Roman"/>
          <w:sz w:val="20"/>
          <w:szCs w:val="20"/>
        </w:rPr>
        <w:t xml:space="preserve">, 2021, the Company entered into amending agreements with convertible debenture holders to extend the maturity date of an aggregate principal amount of $1,303,000 of convertible debentures due July 7, </w:t>
      </w:r>
      <w:proofErr w:type="gramStart"/>
      <w:r w:rsidRPr="00F0696B">
        <w:rPr>
          <w:rFonts w:ascii="Times New Roman" w:hAnsi="Times New Roman" w:cs="Times New Roman"/>
          <w:sz w:val="20"/>
          <w:szCs w:val="20"/>
        </w:rPr>
        <w:t>2022</w:t>
      </w:r>
      <w:proofErr w:type="gramEnd"/>
      <w:r w:rsidRPr="00F0696B">
        <w:rPr>
          <w:rFonts w:ascii="Times New Roman" w:hAnsi="Times New Roman" w:cs="Times New Roman"/>
          <w:sz w:val="20"/>
          <w:szCs w:val="20"/>
        </w:rPr>
        <w:t xml:space="preserve"> to December 31, 2022, and in respect of the underlying warrants issuable on conversion to extend their expiry date from January 7, 2023 to June 30, 2023.  The principal amount of the convertible debentures is convertible into units at a price of $0.30 per unit, with each unit being comprised of one common share and one-half warrant, with a whole warrant being exercisable to purchase a common share at $0.45 until June 30, 2023 (extended from January 7, </w:t>
      </w:r>
      <w:proofErr w:type="gramStart"/>
      <w:r w:rsidRPr="00F0696B">
        <w:rPr>
          <w:rFonts w:ascii="Times New Roman" w:hAnsi="Times New Roman" w:cs="Times New Roman"/>
          <w:sz w:val="20"/>
          <w:szCs w:val="20"/>
        </w:rPr>
        <w:t>2023</w:t>
      </w:r>
      <w:proofErr w:type="gramEnd"/>
      <w:r w:rsidRPr="00F0696B">
        <w:rPr>
          <w:rFonts w:ascii="Times New Roman" w:hAnsi="Times New Roman" w:cs="Times New Roman"/>
          <w:sz w:val="20"/>
          <w:szCs w:val="20"/>
        </w:rPr>
        <w:t xml:space="preserve"> pursuant to the above mentioned amending agreement).</w:t>
      </w:r>
      <w:r>
        <w:rPr>
          <w:rFonts w:ascii="Times New Roman" w:hAnsi="Times New Roman" w:cs="Times New Roman"/>
          <w:sz w:val="20"/>
          <w:szCs w:val="20"/>
        </w:rPr>
        <w:t xml:space="preserve"> As at the date of this MD&amp;A, all signed agreements have been received.</w:t>
      </w:r>
    </w:p>
    <w:p w14:paraId="1A96FD34" w14:textId="43DCC4B2" w:rsidR="00372059" w:rsidRDefault="00372059"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A4460C">
        <w:rPr>
          <w:rFonts w:ascii="Times New Roman" w:hAnsi="Times New Roman" w:cs="Times New Roman"/>
          <w:b/>
          <w:bCs/>
          <w:sz w:val="20"/>
          <w:szCs w:val="20"/>
        </w:rPr>
        <w:t>August 27, 2021</w:t>
      </w:r>
      <w:r>
        <w:rPr>
          <w:rFonts w:ascii="Times New Roman" w:hAnsi="Times New Roman" w:cs="Times New Roman"/>
          <w:b/>
          <w:bCs/>
          <w:sz w:val="20"/>
          <w:szCs w:val="20"/>
        </w:rPr>
        <w:t xml:space="preserve"> </w:t>
      </w:r>
      <w:r w:rsidRPr="00A4460C">
        <w:rPr>
          <w:rFonts w:ascii="Times New Roman" w:hAnsi="Times New Roman" w:cs="Times New Roman"/>
          <w:sz w:val="20"/>
          <w:szCs w:val="20"/>
        </w:rPr>
        <w:t>– The</w:t>
      </w:r>
      <w:r w:rsidRPr="00372059">
        <w:rPr>
          <w:rFonts w:ascii="Times New Roman" w:hAnsi="Times New Roman" w:cs="Times New Roman"/>
          <w:sz w:val="20"/>
          <w:szCs w:val="20"/>
        </w:rPr>
        <w:t xml:space="preserve"> Company granted 25,000 share purchase options exercisable at $0.17 per common share with an expiry date of August 27, 2026.  The share purchase options are subject to standard vesting provisions of 25% on the date of grant and 25% on each anniversary date, such that all share purchase options fully vest over three years from the date of grant.</w:t>
      </w:r>
    </w:p>
    <w:p w14:paraId="0E51B5BC" w14:textId="77777777" w:rsidR="00372059" w:rsidRPr="00A4460C" w:rsidRDefault="00372059" w:rsidP="00A4460C">
      <w:pPr>
        <w:pStyle w:val="ListParagraph"/>
        <w:spacing w:after="0" w:line="240" w:lineRule="auto"/>
        <w:ind w:left="567"/>
        <w:jc w:val="both"/>
        <w:rPr>
          <w:rFonts w:ascii="Times New Roman" w:hAnsi="Times New Roman" w:cs="Times New Roman"/>
          <w:sz w:val="20"/>
          <w:szCs w:val="20"/>
        </w:rPr>
      </w:pPr>
    </w:p>
    <w:p w14:paraId="45C8A05C" w14:textId="2229044F" w:rsidR="00A37F86" w:rsidRPr="00E56F1C" w:rsidRDefault="00A37F86"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August 11, 2021</w:t>
      </w:r>
      <w:r w:rsidRPr="00E56F1C">
        <w:rPr>
          <w:rFonts w:ascii="Times New Roman" w:hAnsi="Times New Roman" w:cs="Times New Roman"/>
          <w:sz w:val="20"/>
          <w:szCs w:val="20"/>
        </w:rPr>
        <w:t xml:space="preserve"> – Marble announced its proprietary digital API Integration (Marble Connect) with Citadel Mortgages. Citadel Mortgages is a full-service Mortgage Brokerage, servicing across Canada.</w:t>
      </w:r>
    </w:p>
    <w:p w14:paraId="234A2247" w14:textId="77777777" w:rsidR="00A37F86" w:rsidRPr="00E56F1C" w:rsidRDefault="00A37F86" w:rsidP="00A37F86">
      <w:pPr>
        <w:pStyle w:val="ListParagraph"/>
        <w:spacing w:after="0" w:line="240" w:lineRule="auto"/>
        <w:ind w:left="567"/>
        <w:jc w:val="both"/>
        <w:rPr>
          <w:rFonts w:ascii="Times New Roman" w:hAnsi="Times New Roman" w:cs="Times New Roman"/>
          <w:sz w:val="20"/>
          <w:szCs w:val="20"/>
        </w:rPr>
      </w:pPr>
    </w:p>
    <w:p w14:paraId="747D3BAC" w14:textId="53E08997" w:rsidR="00A37F86" w:rsidRPr="00E56F1C" w:rsidRDefault="00A37F86"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July 26, 2021</w:t>
      </w:r>
      <w:r w:rsidRPr="00E56F1C">
        <w:rPr>
          <w:rFonts w:ascii="Times New Roman" w:hAnsi="Times New Roman" w:cs="Times New Roman"/>
          <w:sz w:val="20"/>
          <w:szCs w:val="20"/>
        </w:rPr>
        <w:t xml:space="preserve"> – Marble announced the execution of a $10 million credit facility agreement </w:t>
      </w:r>
      <w:r w:rsidR="007B23C0" w:rsidRPr="00C53768">
        <w:rPr>
          <w:rFonts w:ascii="Times New Roman" w:hAnsi="Times New Roman" w:cs="Times New Roman"/>
          <w:sz w:val="20"/>
          <w:szCs w:val="20"/>
        </w:rPr>
        <w:t>amongst Marble, 1301771, TPFM, and CHP Agent Services Inc. (“CHP”), a subsidiary of Cypress Hills Partners Inc.</w:t>
      </w:r>
      <w:r w:rsidRPr="00E56F1C">
        <w:rPr>
          <w:rFonts w:ascii="Times New Roman" w:hAnsi="Times New Roman" w:cs="Times New Roman"/>
          <w:sz w:val="20"/>
          <w:szCs w:val="20"/>
        </w:rPr>
        <w:t>, to fund its Fast-Track Loan program.</w:t>
      </w:r>
    </w:p>
    <w:p w14:paraId="6E9D39DD" w14:textId="77777777" w:rsidR="00A37F86" w:rsidRPr="00E56F1C" w:rsidRDefault="00A37F86" w:rsidP="00A37F86">
      <w:pPr>
        <w:pStyle w:val="ListParagraph"/>
        <w:rPr>
          <w:rFonts w:ascii="Times New Roman" w:hAnsi="Times New Roman" w:cs="Times New Roman"/>
          <w:sz w:val="20"/>
          <w:szCs w:val="20"/>
        </w:rPr>
      </w:pPr>
    </w:p>
    <w:p w14:paraId="41D4ECBC" w14:textId="0E494BF1" w:rsidR="00B14963" w:rsidRPr="00E56F1C" w:rsidRDefault="00B14963"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July 22, 2021</w:t>
      </w:r>
      <w:r w:rsidRPr="00E56F1C">
        <w:rPr>
          <w:rFonts w:ascii="Times New Roman" w:hAnsi="Times New Roman" w:cs="Times New Roman"/>
          <w:sz w:val="20"/>
          <w:szCs w:val="20"/>
        </w:rPr>
        <w:t xml:space="preserve"> – Marble announced that it has surpassed the </w:t>
      </w:r>
      <w:proofErr w:type="gramStart"/>
      <w:r w:rsidRPr="00E56F1C">
        <w:rPr>
          <w:rFonts w:ascii="Times New Roman" w:hAnsi="Times New Roman" w:cs="Times New Roman"/>
          <w:sz w:val="20"/>
          <w:szCs w:val="20"/>
        </w:rPr>
        <w:t>20,000 member</w:t>
      </w:r>
      <w:proofErr w:type="gramEnd"/>
      <w:r w:rsidRPr="00E56F1C">
        <w:rPr>
          <w:rFonts w:ascii="Times New Roman" w:hAnsi="Times New Roman" w:cs="Times New Roman"/>
          <w:sz w:val="20"/>
          <w:szCs w:val="20"/>
        </w:rPr>
        <w:t xml:space="preserve"> milestone on the </w:t>
      </w:r>
      <w:proofErr w:type="spellStart"/>
      <w:r w:rsidRPr="00E56F1C">
        <w:rPr>
          <w:rFonts w:ascii="Times New Roman" w:hAnsi="Times New Roman" w:cs="Times New Roman"/>
          <w:sz w:val="20"/>
          <w:szCs w:val="20"/>
        </w:rPr>
        <w:t>MyMarble</w:t>
      </w:r>
      <w:proofErr w:type="spellEnd"/>
      <w:r w:rsidRPr="00E56F1C">
        <w:rPr>
          <w:rFonts w:ascii="Times New Roman" w:hAnsi="Times New Roman" w:cs="Times New Roman"/>
          <w:sz w:val="20"/>
          <w:szCs w:val="20"/>
        </w:rPr>
        <w:t xml:space="preserve"> Financial Wellness Platform.</w:t>
      </w:r>
    </w:p>
    <w:p w14:paraId="06ABCC56" w14:textId="77777777" w:rsidR="00B14963" w:rsidRPr="00E56F1C" w:rsidRDefault="00B14963" w:rsidP="00B14963">
      <w:pPr>
        <w:pStyle w:val="ListParagraph"/>
        <w:rPr>
          <w:rFonts w:ascii="Times New Roman" w:hAnsi="Times New Roman" w:cs="Times New Roman"/>
          <w:sz w:val="20"/>
          <w:szCs w:val="20"/>
        </w:rPr>
      </w:pPr>
    </w:p>
    <w:p w14:paraId="22EFF002" w14:textId="4427384E" w:rsidR="00B14963" w:rsidRPr="00E56F1C" w:rsidRDefault="00B14963"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July 16, 2021</w:t>
      </w:r>
      <w:r w:rsidRPr="00E56F1C">
        <w:rPr>
          <w:rFonts w:ascii="Times New Roman" w:hAnsi="Times New Roman" w:cs="Times New Roman"/>
          <w:sz w:val="20"/>
          <w:szCs w:val="20"/>
        </w:rPr>
        <w:t xml:space="preserve"> – Marble announced that it has become a member of the Financial Data and Technology Association (FDATA) to support its open banking and data privacy strategy.</w:t>
      </w:r>
    </w:p>
    <w:p w14:paraId="2FA7F210" w14:textId="77777777" w:rsidR="00B14963" w:rsidRPr="00E56F1C" w:rsidRDefault="00B14963" w:rsidP="00B14963">
      <w:pPr>
        <w:spacing w:after="0" w:line="240" w:lineRule="auto"/>
        <w:jc w:val="both"/>
        <w:rPr>
          <w:rFonts w:ascii="Times New Roman" w:hAnsi="Times New Roman" w:cs="Times New Roman"/>
          <w:sz w:val="20"/>
          <w:szCs w:val="20"/>
        </w:rPr>
      </w:pPr>
    </w:p>
    <w:p w14:paraId="5B71AAF2" w14:textId="680B48AF" w:rsidR="00B14963" w:rsidRPr="00E56F1C" w:rsidRDefault="004026D6"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Pr>
          <w:rFonts w:ascii="Times New Roman" w:hAnsi="Times New Roman" w:cs="Times New Roman"/>
          <w:b/>
          <w:bCs/>
          <w:sz w:val="20"/>
          <w:szCs w:val="20"/>
        </w:rPr>
        <w:t>July 5</w:t>
      </w:r>
      <w:r w:rsidR="00B14963" w:rsidRPr="00E56F1C">
        <w:rPr>
          <w:rFonts w:ascii="Times New Roman" w:hAnsi="Times New Roman" w:cs="Times New Roman"/>
          <w:b/>
          <w:bCs/>
          <w:sz w:val="20"/>
          <w:szCs w:val="20"/>
        </w:rPr>
        <w:t>, 2021</w:t>
      </w:r>
      <w:r w:rsidR="00B14963" w:rsidRPr="00E56F1C">
        <w:rPr>
          <w:rFonts w:ascii="Times New Roman" w:hAnsi="Times New Roman" w:cs="Times New Roman"/>
          <w:sz w:val="20"/>
          <w:szCs w:val="20"/>
        </w:rPr>
        <w:t xml:space="preserve"> – Marble announced that it has added Lawrence Rhee as its Fintech Capital Markets, Special Situations Advisor and Michael Feola to its Board of Directors. The Company granted 300,000 RSUs to RHEETHINK Inc., of which, 150,000 RSUs vest on October 2, 2021, and the balance on January 2, 2022.</w:t>
      </w:r>
      <w:r w:rsidR="004E6FB7">
        <w:rPr>
          <w:rFonts w:ascii="Times New Roman" w:hAnsi="Times New Roman" w:cs="Times New Roman"/>
          <w:sz w:val="20"/>
          <w:szCs w:val="20"/>
        </w:rPr>
        <w:t xml:space="preserve"> </w:t>
      </w:r>
      <w:r>
        <w:rPr>
          <w:rFonts w:ascii="Times New Roman" w:hAnsi="Times New Roman" w:cs="Times New Roman"/>
          <w:sz w:val="20"/>
          <w:szCs w:val="20"/>
        </w:rPr>
        <w:t>The Company also announced the resignation of Vikas Ranjan from the Board of Directors.</w:t>
      </w:r>
    </w:p>
    <w:p w14:paraId="381F7524" w14:textId="77777777" w:rsidR="00B14963" w:rsidRPr="00E56F1C" w:rsidRDefault="00B14963" w:rsidP="00B14963">
      <w:pPr>
        <w:pStyle w:val="ListParagraph"/>
        <w:rPr>
          <w:rFonts w:ascii="Times New Roman" w:hAnsi="Times New Roman" w:cs="Times New Roman"/>
          <w:sz w:val="20"/>
          <w:szCs w:val="20"/>
        </w:rPr>
      </w:pPr>
    </w:p>
    <w:p w14:paraId="627EDE35" w14:textId="13F051D2" w:rsidR="00B14963" w:rsidRDefault="004026D6" w:rsidP="008C4659">
      <w:pPr>
        <w:pStyle w:val="ListParagraph"/>
        <w:numPr>
          <w:ilvl w:val="0"/>
          <w:numId w:val="12"/>
        </w:numPr>
        <w:spacing w:after="0" w:line="240" w:lineRule="auto"/>
        <w:ind w:left="567" w:hanging="567"/>
        <w:jc w:val="both"/>
        <w:rPr>
          <w:rFonts w:ascii="Times New Roman" w:hAnsi="Times New Roman" w:cs="Times New Roman"/>
          <w:sz w:val="20"/>
          <w:szCs w:val="20"/>
        </w:rPr>
      </w:pPr>
      <w:r>
        <w:rPr>
          <w:rFonts w:ascii="Times New Roman" w:hAnsi="Times New Roman" w:cs="Times New Roman"/>
          <w:b/>
          <w:bCs/>
          <w:sz w:val="20"/>
          <w:szCs w:val="20"/>
        </w:rPr>
        <w:t>June 30</w:t>
      </w:r>
      <w:r w:rsidRPr="00E56F1C">
        <w:rPr>
          <w:rFonts w:ascii="Times New Roman" w:hAnsi="Times New Roman" w:cs="Times New Roman"/>
          <w:b/>
          <w:bCs/>
          <w:sz w:val="20"/>
          <w:szCs w:val="20"/>
        </w:rPr>
        <w:t xml:space="preserve">, </w:t>
      </w:r>
      <w:r w:rsidR="00B14963" w:rsidRPr="00E56F1C">
        <w:rPr>
          <w:rFonts w:ascii="Times New Roman" w:hAnsi="Times New Roman" w:cs="Times New Roman"/>
          <w:b/>
          <w:bCs/>
          <w:sz w:val="20"/>
          <w:szCs w:val="20"/>
        </w:rPr>
        <w:t>2021</w:t>
      </w:r>
      <w:r w:rsidR="00B14963" w:rsidRPr="00E56F1C">
        <w:rPr>
          <w:rFonts w:ascii="Times New Roman" w:hAnsi="Times New Roman" w:cs="Times New Roman"/>
          <w:sz w:val="20"/>
          <w:szCs w:val="20"/>
        </w:rPr>
        <w:t xml:space="preserve"> – The Company granted an aggregate of 850,000 stock options to directors, </w:t>
      </w:r>
      <w:proofErr w:type="gramStart"/>
      <w:r w:rsidR="00B14963" w:rsidRPr="00E56F1C">
        <w:rPr>
          <w:rFonts w:ascii="Times New Roman" w:hAnsi="Times New Roman" w:cs="Times New Roman"/>
          <w:sz w:val="20"/>
          <w:szCs w:val="20"/>
        </w:rPr>
        <w:t>employees</w:t>
      </w:r>
      <w:proofErr w:type="gramEnd"/>
      <w:r w:rsidR="00B14963" w:rsidRPr="00E56F1C">
        <w:rPr>
          <w:rFonts w:ascii="Times New Roman" w:hAnsi="Times New Roman" w:cs="Times New Roman"/>
          <w:sz w:val="20"/>
          <w:szCs w:val="20"/>
        </w:rPr>
        <w:t xml:space="preserve"> and consultants of the Company. The options have a </w:t>
      </w:r>
      <w:proofErr w:type="gramStart"/>
      <w:r w:rsidR="00B14963" w:rsidRPr="00E56F1C">
        <w:rPr>
          <w:rFonts w:ascii="Times New Roman" w:hAnsi="Times New Roman" w:cs="Times New Roman"/>
          <w:sz w:val="20"/>
          <w:szCs w:val="20"/>
        </w:rPr>
        <w:t>five year</w:t>
      </w:r>
      <w:proofErr w:type="gramEnd"/>
      <w:r w:rsidR="00B14963" w:rsidRPr="00E56F1C">
        <w:rPr>
          <w:rFonts w:ascii="Times New Roman" w:hAnsi="Times New Roman" w:cs="Times New Roman"/>
          <w:sz w:val="20"/>
          <w:szCs w:val="20"/>
        </w:rPr>
        <w:t xml:space="preserve"> term, vest in equal one quarter amounts on the date of grant, and in each of the first year, second year and third year anniversaries from the date of grant, and are exercisable at a price of $0.21 per share.</w:t>
      </w:r>
      <w:r>
        <w:rPr>
          <w:rFonts w:ascii="Times New Roman" w:hAnsi="Times New Roman" w:cs="Times New Roman"/>
          <w:sz w:val="20"/>
          <w:szCs w:val="20"/>
        </w:rPr>
        <w:t xml:space="preserve"> The Company also cancelled an aggregate of 1,050,000 previously granted stock options.</w:t>
      </w:r>
    </w:p>
    <w:p w14:paraId="1054A95E" w14:textId="77777777" w:rsidR="00372059" w:rsidRPr="00A4460C" w:rsidRDefault="00372059" w:rsidP="00A4460C">
      <w:pPr>
        <w:pStyle w:val="ListParagraph"/>
        <w:rPr>
          <w:rFonts w:ascii="Times New Roman" w:hAnsi="Times New Roman" w:cs="Times New Roman"/>
          <w:sz w:val="20"/>
          <w:szCs w:val="20"/>
        </w:rPr>
      </w:pPr>
    </w:p>
    <w:p w14:paraId="1037DE3F" w14:textId="1B3F5349" w:rsidR="00B14963" w:rsidRPr="00E56F1C" w:rsidRDefault="00B14963"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June 16, 2021</w:t>
      </w:r>
      <w:r w:rsidRPr="00E56F1C">
        <w:rPr>
          <w:rFonts w:ascii="Times New Roman" w:hAnsi="Times New Roman" w:cs="Times New Roman"/>
          <w:sz w:val="20"/>
          <w:szCs w:val="20"/>
        </w:rPr>
        <w:t xml:space="preserve"> – </w:t>
      </w:r>
      <w:r w:rsidR="00E56F1C" w:rsidRPr="00E56F1C">
        <w:rPr>
          <w:rFonts w:ascii="Times New Roman" w:hAnsi="Times New Roman" w:cs="Times New Roman"/>
          <w:sz w:val="20"/>
          <w:szCs w:val="20"/>
        </w:rPr>
        <w:t xml:space="preserve">Marble announced its first digital API integration with </w:t>
      </w:r>
      <w:proofErr w:type="spellStart"/>
      <w:r w:rsidR="00E56F1C" w:rsidRPr="00E56F1C">
        <w:rPr>
          <w:rFonts w:ascii="Times New Roman" w:hAnsi="Times New Roman" w:cs="Times New Roman"/>
          <w:sz w:val="20"/>
          <w:szCs w:val="20"/>
        </w:rPr>
        <w:t>Nuborrow</w:t>
      </w:r>
      <w:proofErr w:type="spellEnd"/>
      <w:r w:rsidR="00E56F1C" w:rsidRPr="00E56F1C">
        <w:rPr>
          <w:rFonts w:ascii="Times New Roman" w:hAnsi="Times New Roman" w:cs="Times New Roman"/>
          <w:sz w:val="20"/>
          <w:szCs w:val="20"/>
        </w:rPr>
        <w:t xml:space="preserve"> to provide their customers access to the Marble Platform of practical financial wellness programs and guidance through </w:t>
      </w:r>
      <w:proofErr w:type="spellStart"/>
      <w:r w:rsidR="00E56F1C" w:rsidRPr="00E56F1C">
        <w:rPr>
          <w:rFonts w:ascii="Times New Roman" w:hAnsi="Times New Roman" w:cs="Times New Roman"/>
          <w:sz w:val="20"/>
          <w:szCs w:val="20"/>
        </w:rPr>
        <w:t>MyMarble’s</w:t>
      </w:r>
      <w:proofErr w:type="spellEnd"/>
      <w:r w:rsidR="00E56F1C" w:rsidRPr="00E56F1C">
        <w:rPr>
          <w:rFonts w:ascii="Times New Roman" w:hAnsi="Times New Roman" w:cs="Times New Roman"/>
          <w:sz w:val="20"/>
          <w:szCs w:val="20"/>
        </w:rPr>
        <w:t xml:space="preserve"> new API Integration business solution.</w:t>
      </w:r>
    </w:p>
    <w:p w14:paraId="5B064034" w14:textId="77777777" w:rsidR="00B14963" w:rsidRPr="00B14963" w:rsidRDefault="00B14963" w:rsidP="00B14963">
      <w:pPr>
        <w:spacing w:after="0" w:line="240" w:lineRule="auto"/>
        <w:jc w:val="both"/>
        <w:rPr>
          <w:rFonts w:ascii="Times New Roman" w:hAnsi="Times New Roman" w:cs="Times New Roman"/>
          <w:sz w:val="20"/>
          <w:szCs w:val="20"/>
          <w:highlight w:val="yellow"/>
        </w:rPr>
      </w:pPr>
    </w:p>
    <w:p w14:paraId="4A55C7AA" w14:textId="5A29A06B" w:rsidR="00B14963" w:rsidRPr="00E56F1C" w:rsidRDefault="00B14963"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June 9, 2021</w:t>
      </w:r>
      <w:r w:rsidRPr="00E56F1C">
        <w:rPr>
          <w:rFonts w:ascii="Times New Roman" w:hAnsi="Times New Roman" w:cs="Times New Roman"/>
          <w:sz w:val="20"/>
          <w:szCs w:val="20"/>
        </w:rPr>
        <w:t xml:space="preserve"> – </w:t>
      </w:r>
      <w:r w:rsidR="00E56F1C" w:rsidRPr="00E56F1C">
        <w:rPr>
          <w:rFonts w:ascii="Times New Roman" w:hAnsi="Times New Roman" w:cs="Times New Roman"/>
          <w:sz w:val="20"/>
          <w:szCs w:val="20"/>
        </w:rPr>
        <w:t xml:space="preserve">Marble announced that its subsidiary, </w:t>
      </w:r>
      <w:proofErr w:type="spellStart"/>
      <w:r w:rsidR="00E56F1C" w:rsidRPr="00E56F1C">
        <w:rPr>
          <w:rFonts w:ascii="Times New Roman" w:hAnsi="Times New Roman" w:cs="Times New Roman"/>
          <w:sz w:val="20"/>
          <w:szCs w:val="20"/>
        </w:rPr>
        <w:t>Inverite</w:t>
      </w:r>
      <w:proofErr w:type="spellEnd"/>
      <w:r w:rsidR="00E56F1C" w:rsidRPr="00E56F1C">
        <w:rPr>
          <w:rFonts w:ascii="Times New Roman" w:hAnsi="Times New Roman" w:cs="Times New Roman"/>
          <w:sz w:val="20"/>
          <w:szCs w:val="20"/>
        </w:rPr>
        <w:t xml:space="preserve">, has entered into a data verification agreement with one of Canada’s largest alternative </w:t>
      </w:r>
      <w:proofErr w:type="spellStart"/>
      <w:r w:rsidR="00E56F1C" w:rsidRPr="00E56F1C">
        <w:rPr>
          <w:rFonts w:ascii="Times New Roman" w:hAnsi="Times New Roman" w:cs="Times New Roman"/>
          <w:sz w:val="20"/>
          <w:szCs w:val="20"/>
        </w:rPr>
        <w:t>PowerSports</w:t>
      </w:r>
      <w:proofErr w:type="spellEnd"/>
      <w:r w:rsidR="00E56F1C" w:rsidRPr="00E56F1C">
        <w:rPr>
          <w:rFonts w:ascii="Times New Roman" w:hAnsi="Times New Roman" w:cs="Times New Roman"/>
          <w:sz w:val="20"/>
          <w:szCs w:val="20"/>
        </w:rPr>
        <w:t xml:space="preserve"> financing companies, engaged in financing ATV’s, snowmobiles, motorcycles, boats/personal </w:t>
      </w:r>
      <w:proofErr w:type="gramStart"/>
      <w:r w:rsidR="00E56F1C" w:rsidRPr="00E56F1C">
        <w:rPr>
          <w:rFonts w:ascii="Times New Roman" w:hAnsi="Times New Roman" w:cs="Times New Roman"/>
          <w:sz w:val="20"/>
          <w:szCs w:val="20"/>
        </w:rPr>
        <w:t>watercrafts</w:t>
      </w:r>
      <w:proofErr w:type="gramEnd"/>
      <w:r w:rsidR="00E56F1C" w:rsidRPr="00E56F1C">
        <w:rPr>
          <w:rFonts w:ascii="Times New Roman" w:hAnsi="Times New Roman" w:cs="Times New Roman"/>
          <w:sz w:val="20"/>
          <w:szCs w:val="20"/>
        </w:rPr>
        <w:t xml:space="preserve"> and RV’s/travel trailers.</w:t>
      </w:r>
    </w:p>
    <w:p w14:paraId="532E78D5" w14:textId="77777777" w:rsidR="00B14963" w:rsidRPr="00B14963" w:rsidRDefault="00B14963" w:rsidP="00B14963">
      <w:pPr>
        <w:spacing w:after="0" w:line="240" w:lineRule="auto"/>
        <w:jc w:val="both"/>
        <w:rPr>
          <w:rFonts w:ascii="Times New Roman" w:hAnsi="Times New Roman" w:cs="Times New Roman"/>
          <w:sz w:val="20"/>
          <w:szCs w:val="20"/>
          <w:highlight w:val="yellow"/>
        </w:rPr>
      </w:pPr>
    </w:p>
    <w:p w14:paraId="57D9A81D" w14:textId="275F7236" w:rsidR="00B14963" w:rsidRPr="00E56F1C" w:rsidRDefault="00B14963" w:rsidP="00B14963">
      <w:pPr>
        <w:pStyle w:val="ListParagraph"/>
        <w:numPr>
          <w:ilvl w:val="0"/>
          <w:numId w:val="12"/>
        </w:numPr>
        <w:spacing w:after="0" w:line="240" w:lineRule="auto"/>
        <w:ind w:left="567" w:hanging="567"/>
        <w:jc w:val="both"/>
        <w:rPr>
          <w:rFonts w:ascii="Times New Roman" w:hAnsi="Times New Roman" w:cs="Times New Roman"/>
          <w:sz w:val="20"/>
          <w:szCs w:val="20"/>
        </w:rPr>
      </w:pPr>
      <w:r w:rsidRPr="00E56F1C">
        <w:rPr>
          <w:rFonts w:ascii="Times New Roman" w:hAnsi="Times New Roman" w:cs="Times New Roman"/>
          <w:b/>
          <w:bCs/>
          <w:sz w:val="20"/>
          <w:szCs w:val="20"/>
        </w:rPr>
        <w:t>June 1, 2021</w:t>
      </w:r>
      <w:r w:rsidRPr="00E56F1C">
        <w:rPr>
          <w:rFonts w:ascii="Times New Roman" w:hAnsi="Times New Roman" w:cs="Times New Roman"/>
          <w:sz w:val="20"/>
          <w:szCs w:val="20"/>
        </w:rPr>
        <w:t xml:space="preserve"> – The Company </w:t>
      </w:r>
      <w:r w:rsidR="00E56F1C" w:rsidRPr="00E56F1C">
        <w:rPr>
          <w:rFonts w:ascii="Times New Roman" w:hAnsi="Times New Roman" w:cs="Times New Roman"/>
          <w:sz w:val="20"/>
          <w:szCs w:val="20"/>
        </w:rPr>
        <w:t xml:space="preserve">announced that its subsidiary, </w:t>
      </w:r>
      <w:proofErr w:type="spellStart"/>
      <w:r w:rsidR="00E56F1C" w:rsidRPr="00E56F1C">
        <w:rPr>
          <w:rFonts w:ascii="Times New Roman" w:hAnsi="Times New Roman" w:cs="Times New Roman"/>
          <w:sz w:val="20"/>
          <w:szCs w:val="20"/>
        </w:rPr>
        <w:t>Inverite</w:t>
      </w:r>
      <w:proofErr w:type="spellEnd"/>
      <w:r w:rsidR="00E56F1C" w:rsidRPr="00E56F1C">
        <w:rPr>
          <w:rFonts w:ascii="Times New Roman" w:hAnsi="Times New Roman" w:cs="Times New Roman"/>
          <w:sz w:val="20"/>
          <w:szCs w:val="20"/>
        </w:rPr>
        <w:t>, has completed its compliance with SOC 2 Type 1 Standards.</w:t>
      </w:r>
    </w:p>
    <w:p w14:paraId="77BDC12C" w14:textId="77777777" w:rsidR="00E56F1C" w:rsidRPr="00E56F1C" w:rsidRDefault="00E56F1C" w:rsidP="00E56F1C">
      <w:pPr>
        <w:pStyle w:val="ListParagraph"/>
        <w:rPr>
          <w:rFonts w:ascii="Times New Roman" w:hAnsi="Times New Roman" w:cs="Times New Roman"/>
          <w:sz w:val="20"/>
          <w:szCs w:val="20"/>
          <w:highlight w:val="yellow"/>
        </w:rPr>
      </w:pPr>
    </w:p>
    <w:p w14:paraId="56629EFB" w14:textId="057F9C84" w:rsidR="00E56F1C" w:rsidRPr="00E56F1C" w:rsidRDefault="004026D6" w:rsidP="00E56F1C">
      <w:pPr>
        <w:pStyle w:val="ListParagraph"/>
        <w:numPr>
          <w:ilvl w:val="0"/>
          <w:numId w:val="12"/>
        </w:numPr>
        <w:spacing w:after="0" w:line="240" w:lineRule="auto"/>
        <w:ind w:left="567" w:hanging="567"/>
        <w:jc w:val="both"/>
        <w:rPr>
          <w:rFonts w:ascii="Times New Roman" w:hAnsi="Times New Roman" w:cs="Times New Roman"/>
          <w:sz w:val="20"/>
          <w:szCs w:val="20"/>
        </w:rPr>
      </w:pPr>
      <w:r>
        <w:rPr>
          <w:rFonts w:ascii="Times New Roman" w:hAnsi="Times New Roman" w:cs="Times New Roman"/>
          <w:b/>
          <w:bCs/>
          <w:sz w:val="20"/>
          <w:szCs w:val="20"/>
        </w:rPr>
        <w:t>May 31</w:t>
      </w:r>
      <w:r w:rsidR="00E56F1C" w:rsidRPr="00E56F1C">
        <w:rPr>
          <w:rFonts w:ascii="Times New Roman" w:hAnsi="Times New Roman" w:cs="Times New Roman"/>
          <w:b/>
          <w:bCs/>
          <w:sz w:val="20"/>
          <w:szCs w:val="20"/>
        </w:rPr>
        <w:t>, 2021</w:t>
      </w:r>
      <w:r w:rsidR="00E56F1C" w:rsidRPr="00E56F1C">
        <w:rPr>
          <w:rFonts w:ascii="Times New Roman" w:hAnsi="Times New Roman" w:cs="Times New Roman"/>
          <w:sz w:val="20"/>
          <w:szCs w:val="20"/>
        </w:rPr>
        <w:t xml:space="preserve"> – The Company granted an aggregate of 375,000 stock options to directors, </w:t>
      </w:r>
      <w:proofErr w:type="gramStart"/>
      <w:r w:rsidR="00E56F1C" w:rsidRPr="00E56F1C">
        <w:rPr>
          <w:rFonts w:ascii="Times New Roman" w:hAnsi="Times New Roman" w:cs="Times New Roman"/>
          <w:sz w:val="20"/>
          <w:szCs w:val="20"/>
        </w:rPr>
        <w:t>employees</w:t>
      </w:r>
      <w:proofErr w:type="gramEnd"/>
      <w:r w:rsidR="00E56F1C" w:rsidRPr="00E56F1C">
        <w:rPr>
          <w:rFonts w:ascii="Times New Roman" w:hAnsi="Times New Roman" w:cs="Times New Roman"/>
          <w:sz w:val="20"/>
          <w:szCs w:val="20"/>
        </w:rPr>
        <w:t xml:space="preserve"> and consultants of the Company. The options have a </w:t>
      </w:r>
      <w:proofErr w:type="gramStart"/>
      <w:r w:rsidR="00E56F1C" w:rsidRPr="00E56F1C">
        <w:rPr>
          <w:rFonts w:ascii="Times New Roman" w:hAnsi="Times New Roman" w:cs="Times New Roman"/>
          <w:sz w:val="20"/>
          <w:szCs w:val="20"/>
        </w:rPr>
        <w:t>five year</w:t>
      </w:r>
      <w:proofErr w:type="gramEnd"/>
      <w:r w:rsidR="00E56F1C" w:rsidRPr="00E56F1C">
        <w:rPr>
          <w:rFonts w:ascii="Times New Roman" w:hAnsi="Times New Roman" w:cs="Times New Roman"/>
          <w:sz w:val="20"/>
          <w:szCs w:val="20"/>
        </w:rPr>
        <w:t xml:space="preserve"> term, vest in equal one quarter amounts on the date of grant, and in each of the first year, second year and third year anniversaries from the date of grant, and are exercisable at a price of $0.23 per share.</w:t>
      </w:r>
    </w:p>
    <w:p w14:paraId="13AD3B04" w14:textId="1583D1FA" w:rsidR="00E56F1C" w:rsidRPr="00E56F1C" w:rsidRDefault="00E56F1C" w:rsidP="00E56F1C">
      <w:pPr>
        <w:spacing w:after="0" w:line="240" w:lineRule="auto"/>
        <w:jc w:val="both"/>
        <w:rPr>
          <w:rFonts w:ascii="Times New Roman" w:hAnsi="Times New Roman" w:cs="Times New Roman"/>
          <w:sz w:val="20"/>
          <w:szCs w:val="20"/>
        </w:rPr>
      </w:pPr>
    </w:p>
    <w:p w14:paraId="15CF13F6" w14:textId="0BA4226A" w:rsidR="00E56F1C" w:rsidRPr="00E56F1C" w:rsidRDefault="004026D6" w:rsidP="00E56F1C">
      <w:pPr>
        <w:pStyle w:val="ListParagraph"/>
        <w:numPr>
          <w:ilvl w:val="0"/>
          <w:numId w:val="12"/>
        </w:numPr>
        <w:spacing w:after="0" w:line="240" w:lineRule="auto"/>
        <w:ind w:left="567" w:hanging="567"/>
        <w:jc w:val="both"/>
        <w:rPr>
          <w:rFonts w:ascii="Times New Roman" w:hAnsi="Times New Roman" w:cs="Times New Roman"/>
          <w:sz w:val="20"/>
          <w:szCs w:val="20"/>
        </w:rPr>
      </w:pPr>
      <w:r>
        <w:rPr>
          <w:rFonts w:ascii="Times New Roman" w:hAnsi="Times New Roman" w:cs="Times New Roman"/>
          <w:b/>
          <w:bCs/>
          <w:sz w:val="20"/>
          <w:szCs w:val="20"/>
        </w:rPr>
        <w:t>May 31</w:t>
      </w:r>
      <w:r w:rsidR="00E56F1C" w:rsidRPr="00E56F1C">
        <w:rPr>
          <w:rFonts w:ascii="Times New Roman" w:hAnsi="Times New Roman" w:cs="Times New Roman"/>
          <w:b/>
          <w:bCs/>
          <w:sz w:val="20"/>
          <w:szCs w:val="20"/>
        </w:rPr>
        <w:t>, 2021</w:t>
      </w:r>
      <w:r w:rsidR="00E56F1C" w:rsidRPr="00E56F1C">
        <w:rPr>
          <w:rFonts w:ascii="Times New Roman" w:hAnsi="Times New Roman" w:cs="Times New Roman"/>
          <w:sz w:val="20"/>
          <w:szCs w:val="20"/>
        </w:rPr>
        <w:t xml:space="preserve"> – The Company granted </w:t>
      </w:r>
      <w:r w:rsidR="00E56F1C">
        <w:rPr>
          <w:rFonts w:ascii="Times New Roman" w:hAnsi="Times New Roman" w:cs="Times New Roman"/>
          <w:sz w:val="20"/>
          <w:szCs w:val="20"/>
        </w:rPr>
        <w:t>1</w:t>
      </w:r>
      <w:r w:rsidR="00E56F1C" w:rsidRPr="00E56F1C">
        <w:rPr>
          <w:rFonts w:ascii="Times New Roman" w:hAnsi="Times New Roman" w:cs="Times New Roman"/>
          <w:sz w:val="20"/>
          <w:szCs w:val="20"/>
        </w:rPr>
        <w:t xml:space="preserve">00,000 RSUs to </w:t>
      </w:r>
      <w:r w:rsidR="00E56F1C">
        <w:rPr>
          <w:rFonts w:ascii="Times New Roman" w:hAnsi="Times New Roman" w:cs="Times New Roman"/>
          <w:sz w:val="20"/>
          <w:szCs w:val="20"/>
        </w:rPr>
        <w:t xml:space="preserve">a consultant of the Company. </w:t>
      </w:r>
      <w:r w:rsidR="002C2BE7">
        <w:rPr>
          <w:rFonts w:ascii="Times New Roman" w:hAnsi="Times New Roman" w:cs="Times New Roman"/>
          <w:sz w:val="20"/>
          <w:szCs w:val="20"/>
        </w:rPr>
        <w:t xml:space="preserve">Of the RSUs, </w:t>
      </w:r>
      <w:r w:rsidR="00E56F1C">
        <w:rPr>
          <w:rFonts w:ascii="Times New Roman" w:hAnsi="Times New Roman" w:cs="Times New Roman"/>
          <w:sz w:val="20"/>
          <w:szCs w:val="20"/>
        </w:rPr>
        <w:t>25</w:t>
      </w:r>
      <w:r w:rsidR="00E56F1C" w:rsidRPr="00E56F1C">
        <w:rPr>
          <w:rFonts w:ascii="Times New Roman" w:hAnsi="Times New Roman" w:cs="Times New Roman"/>
          <w:sz w:val="20"/>
          <w:szCs w:val="20"/>
        </w:rPr>
        <w:t xml:space="preserve">,000 </w:t>
      </w:r>
      <w:r w:rsidR="00527336">
        <w:rPr>
          <w:rFonts w:ascii="Times New Roman" w:hAnsi="Times New Roman" w:cs="Times New Roman"/>
          <w:sz w:val="20"/>
          <w:szCs w:val="20"/>
        </w:rPr>
        <w:t xml:space="preserve">vest on August </w:t>
      </w:r>
      <w:r>
        <w:rPr>
          <w:rFonts w:ascii="Times New Roman" w:hAnsi="Times New Roman" w:cs="Times New Roman"/>
          <w:sz w:val="20"/>
          <w:szCs w:val="20"/>
        </w:rPr>
        <w:t>3</w:t>
      </w:r>
      <w:r w:rsidR="00527336">
        <w:rPr>
          <w:rFonts w:ascii="Times New Roman" w:hAnsi="Times New Roman" w:cs="Times New Roman"/>
          <w:sz w:val="20"/>
          <w:szCs w:val="20"/>
        </w:rPr>
        <w:t>1, 2021</w:t>
      </w:r>
      <w:r w:rsidR="00E56F1C" w:rsidRPr="00E56F1C">
        <w:rPr>
          <w:rFonts w:ascii="Times New Roman" w:hAnsi="Times New Roman" w:cs="Times New Roman"/>
          <w:sz w:val="20"/>
          <w:szCs w:val="20"/>
        </w:rPr>
        <w:t>,</w:t>
      </w:r>
      <w:r w:rsidR="00527336">
        <w:rPr>
          <w:rFonts w:ascii="Times New Roman" w:hAnsi="Times New Roman" w:cs="Times New Roman"/>
          <w:sz w:val="20"/>
          <w:szCs w:val="20"/>
        </w:rPr>
        <w:t xml:space="preserve"> with the remainder vesting 25% every three months thereafter.</w:t>
      </w:r>
      <w:r w:rsidR="00E56F1C" w:rsidRPr="00E56F1C">
        <w:rPr>
          <w:rFonts w:ascii="Times New Roman" w:hAnsi="Times New Roman" w:cs="Times New Roman"/>
          <w:sz w:val="20"/>
          <w:szCs w:val="20"/>
        </w:rPr>
        <w:t xml:space="preserve"> </w:t>
      </w:r>
    </w:p>
    <w:p w14:paraId="3A6277DD" w14:textId="77777777" w:rsidR="00A37F86" w:rsidRPr="00A37F86" w:rsidRDefault="00A37F86" w:rsidP="00A37F86">
      <w:pPr>
        <w:pStyle w:val="ListParagraph"/>
        <w:spacing w:after="0" w:line="240" w:lineRule="auto"/>
        <w:ind w:left="567"/>
        <w:jc w:val="both"/>
        <w:rPr>
          <w:rFonts w:ascii="Times New Roman" w:hAnsi="Times New Roman" w:cs="Times New Roman"/>
          <w:sz w:val="20"/>
          <w:szCs w:val="20"/>
          <w:highlight w:val="yellow"/>
        </w:rPr>
      </w:pPr>
    </w:p>
    <w:p w14:paraId="7CDC65BB" w14:textId="16E762DE" w:rsidR="00997E01" w:rsidRPr="00B14963" w:rsidRDefault="008E39DD"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May 20, 2021</w:t>
      </w:r>
      <w:r w:rsidRPr="00B14963">
        <w:rPr>
          <w:rFonts w:ascii="Times New Roman" w:hAnsi="Times New Roman" w:cs="Times New Roman"/>
          <w:sz w:val="20"/>
          <w:szCs w:val="20"/>
        </w:rPr>
        <w:t xml:space="preserve"> – Marble announced that it had </w:t>
      </w:r>
      <w:proofErr w:type="gramStart"/>
      <w:r w:rsidRPr="00B14963">
        <w:rPr>
          <w:rFonts w:ascii="Times New Roman" w:hAnsi="Times New Roman" w:cs="Times New Roman"/>
          <w:sz w:val="20"/>
          <w:szCs w:val="20"/>
        </w:rPr>
        <w:t>entered into</w:t>
      </w:r>
      <w:proofErr w:type="gramEnd"/>
      <w:r w:rsidRPr="00B14963">
        <w:rPr>
          <w:rFonts w:ascii="Times New Roman" w:hAnsi="Times New Roman" w:cs="Times New Roman"/>
          <w:sz w:val="20"/>
          <w:szCs w:val="20"/>
        </w:rPr>
        <w:t xml:space="preserve"> an arrangement with Jenson to offer Jenson’s GIC </w:t>
      </w:r>
      <w:r w:rsidR="0045474D" w:rsidRPr="00B14963">
        <w:rPr>
          <w:rFonts w:ascii="Times New Roman" w:hAnsi="Times New Roman" w:cs="Times New Roman"/>
          <w:sz w:val="20"/>
          <w:szCs w:val="20"/>
        </w:rPr>
        <w:t>S</w:t>
      </w:r>
      <w:r w:rsidRPr="00B14963">
        <w:rPr>
          <w:rFonts w:ascii="Times New Roman" w:hAnsi="Times New Roman" w:cs="Times New Roman"/>
          <w:sz w:val="20"/>
          <w:szCs w:val="20"/>
        </w:rPr>
        <w:t xml:space="preserve">aving </w:t>
      </w:r>
      <w:r w:rsidR="0045474D" w:rsidRPr="00B14963">
        <w:rPr>
          <w:rFonts w:ascii="Times New Roman" w:hAnsi="Times New Roman" w:cs="Times New Roman"/>
          <w:sz w:val="20"/>
          <w:szCs w:val="20"/>
        </w:rPr>
        <w:t>L</w:t>
      </w:r>
      <w:r w:rsidRPr="00B14963">
        <w:rPr>
          <w:rFonts w:ascii="Times New Roman" w:hAnsi="Times New Roman" w:cs="Times New Roman"/>
          <w:sz w:val="20"/>
          <w:szCs w:val="20"/>
        </w:rPr>
        <w:t xml:space="preserve">oan product on the </w:t>
      </w:r>
      <w:proofErr w:type="spellStart"/>
      <w:r w:rsidRPr="00B14963">
        <w:rPr>
          <w:rFonts w:ascii="Times New Roman" w:hAnsi="Times New Roman" w:cs="Times New Roman"/>
          <w:sz w:val="20"/>
          <w:szCs w:val="20"/>
        </w:rPr>
        <w:t>MyMarble</w:t>
      </w:r>
      <w:proofErr w:type="spellEnd"/>
      <w:r w:rsidRPr="00B14963">
        <w:rPr>
          <w:rFonts w:ascii="Times New Roman" w:hAnsi="Times New Roman" w:cs="Times New Roman"/>
          <w:sz w:val="20"/>
          <w:szCs w:val="20"/>
        </w:rPr>
        <w:t xml:space="preserve"> Platform as the “The Secured Future Credit Plan”. </w:t>
      </w:r>
      <w:r w:rsidR="005C3AB3" w:rsidRPr="00B14963">
        <w:rPr>
          <w:rFonts w:ascii="Times New Roman" w:hAnsi="Times New Roman" w:cs="Times New Roman"/>
          <w:sz w:val="20"/>
          <w:szCs w:val="20"/>
        </w:rPr>
        <w:t xml:space="preserve">The Company will provide lead generation and support the underwriting process through automation and provide customer insights on the Affiliate portal for Jenson.  </w:t>
      </w:r>
      <w:r w:rsidRPr="00B14963">
        <w:rPr>
          <w:rFonts w:ascii="Times New Roman" w:hAnsi="Times New Roman" w:cs="Times New Roman"/>
          <w:sz w:val="20"/>
          <w:szCs w:val="20"/>
        </w:rPr>
        <w:t xml:space="preserve">The Company will receive a referral fee for each application processed. </w:t>
      </w:r>
    </w:p>
    <w:p w14:paraId="2C3FB708" w14:textId="77777777" w:rsidR="00997E01" w:rsidRPr="00B14963" w:rsidRDefault="00997E01" w:rsidP="003D68E7">
      <w:pPr>
        <w:pStyle w:val="ListParagraph"/>
        <w:spacing w:after="0" w:line="240" w:lineRule="auto"/>
        <w:ind w:left="567"/>
        <w:jc w:val="both"/>
        <w:rPr>
          <w:rFonts w:ascii="Times New Roman" w:hAnsi="Times New Roman" w:cs="Times New Roman"/>
          <w:sz w:val="20"/>
          <w:szCs w:val="20"/>
        </w:rPr>
      </w:pPr>
    </w:p>
    <w:p w14:paraId="2E59715B" w14:textId="05C7FE2D" w:rsidR="008E39DD" w:rsidRPr="00B14963" w:rsidRDefault="00997E01"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lastRenderedPageBreak/>
        <w:t>May 12, 2021</w:t>
      </w:r>
      <w:r w:rsidRPr="00B14963">
        <w:rPr>
          <w:rFonts w:ascii="Times New Roman" w:hAnsi="Times New Roman" w:cs="Times New Roman"/>
          <w:sz w:val="20"/>
          <w:szCs w:val="20"/>
        </w:rPr>
        <w:t xml:space="preserve"> – Marble announced further expansion into the Auto Lending Space with 15 new referral partnerships, which will allow all 15 auto-lending companies to leverage </w:t>
      </w:r>
      <w:proofErr w:type="spellStart"/>
      <w:r w:rsidRPr="00B14963">
        <w:rPr>
          <w:rFonts w:ascii="Times New Roman" w:hAnsi="Times New Roman" w:cs="Times New Roman"/>
          <w:sz w:val="20"/>
          <w:szCs w:val="20"/>
        </w:rPr>
        <w:t>MyMarble’s</w:t>
      </w:r>
      <w:proofErr w:type="spellEnd"/>
      <w:r w:rsidRPr="00B14963">
        <w:rPr>
          <w:rFonts w:ascii="Times New Roman" w:hAnsi="Times New Roman" w:cs="Times New Roman"/>
          <w:sz w:val="20"/>
          <w:szCs w:val="20"/>
        </w:rPr>
        <w:t xml:space="preserve"> credit improvement recommendation technology to help consumers who require immediate assistance to improve their credit score to obtain auto-financing at the best rates. </w:t>
      </w:r>
      <w:r w:rsidRPr="00B14963">
        <w:rPr>
          <w:rFonts w:ascii="Times New Roman" w:hAnsi="Times New Roman" w:cs="Times New Roman"/>
          <w:sz w:val="20"/>
          <w:szCs w:val="20"/>
        </w:rPr>
        <w:cr/>
      </w:r>
    </w:p>
    <w:p w14:paraId="0B130111" w14:textId="77777777" w:rsidR="00997E01" w:rsidRPr="00B14963" w:rsidRDefault="008E39DD" w:rsidP="00997E01">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April 30, 2021</w:t>
      </w:r>
      <w:r w:rsidRPr="00B14963">
        <w:rPr>
          <w:rFonts w:ascii="Times New Roman" w:hAnsi="Times New Roman" w:cs="Times New Roman"/>
          <w:sz w:val="20"/>
          <w:szCs w:val="20"/>
        </w:rPr>
        <w:t xml:space="preserve"> – Marble announced an online performance marketing arrangement with 55Rush to promote the Company’s </w:t>
      </w:r>
      <w:proofErr w:type="spellStart"/>
      <w:r w:rsidRPr="00B14963">
        <w:rPr>
          <w:rFonts w:ascii="Times New Roman" w:hAnsi="Times New Roman" w:cs="Times New Roman"/>
          <w:sz w:val="20"/>
          <w:szCs w:val="20"/>
        </w:rPr>
        <w:t>MyMarble</w:t>
      </w:r>
      <w:proofErr w:type="spellEnd"/>
      <w:r w:rsidRPr="00B14963">
        <w:rPr>
          <w:rFonts w:ascii="Times New Roman" w:hAnsi="Times New Roman" w:cs="Times New Roman"/>
          <w:sz w:val="20"/>
          <w:szCs w:val="20"/>
        </w:rPr>
        <w:t xml:space="preserve"> Platform with their Parent Life Network users.</w:t>
      </w:r>
    </w:p>
    <w:p w14:paraId="2B95C5A2" w14:textId="77777777" w:rsidR="00997E01" w:rsidRPr="00B14963" w:rsidRDefault="00997E01" w:rsidP="003D68E7">
      <w:pPr>
        <w:pStyle w:val="ListParagraph"/>
        <w:spacing w:after="0" w:line="240" w:lineRule="auto"/>
        <w:ind w:left="567"/>
        <w:jc w:val="both"/>
        <w:rPr>
          <w:rFonts w:ascii="Times New Roman" w:hAnsi="Times New Roman" w:cs="Times New Roman"/>
          <w:sz w:val="20"/>
          <w:szCs w:val="20"/>
        </w:rPr>
      </w:pPr>
    </w:p>
    <w:p w14:paraId="58D25FA7" w14:textId="731C9BE6" w:rsidR="00997E01" w:rsidRPr="00B14963" w:rsidRDefault="00997E01" w:rsidP="003D68E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April 22, 2021</w:t>
      </w:r>
      <w:r w:rsidRPr="00B14963">
        <w:rPr>
          <w:rFonts w:ascii="Times New Roman" w:hAnsi="Times New Roman" w:cs="Times New Roman"/>
          <w:sz w:val="20"/>
          <w:szCs w:val="20"/>
        </w:rPr>
        <w:t xml:space="preserve"> – Marble announced the launch of affiliate marketing program with </w:t>
      </w:r>
      <w:proofErr w:type="spellStart"/>
      <w:r w:rsidRPr="00B14963">
        <w:rPr>
          <w:rFonts w:ascii="Times New Roman" w:hAnsi="Times New Roman" w:cs="Times New Roman"/>
          <w:sz w:val="20"/>
          <w:szCs w:val="20"/>
        </w:rPr>
        <w:t>Fintel</w:t>
      </w:r>
      <w:proofErr w:type="spellEnd"/>
      <w:r w:rsidRPr="00B14963">
        <w:rPr>
          <w:rFonts w:ascii="Times New Roman" w:hAnsi="Times New Roman" w:cs="Times New Roman"/>
          <w:sz w:val="20"/>
          <w:szCs w:val="20"/>
        </w:rPr>
        <w:t xml:space="preserve"> Connect, a leading performance marketing company dedicated to serving the financial services and fintech space.</w:t>
      </w:r>
    </w:p>
    <w:p w14:paraId="40C8A0D6" w14:textId="77777777" w:rsidR="00997E01" w:rsidRPr="00B14963" w:rsidRDefault="00997E01" w:rsidP="003D68E7">
      <w:pPr>
        <w:pStyle w:val="ListParagraph"/>
        <w:spacing w:after="0" w:line="240" w:lineRule="auto"/>
        <w:ind w:left="567"/>
        <w:jc w:val="both"/>
        <w:rPr>
          <w:rFonts w:ascii="Times New Roman" w:hAnsi="Times New Roman" w:cs="Times New Roman"/>
          <w:sz w:val="20"/>
          <w:szCs w:val="20"/>
        </w:rPr>
      </w:pPr>
    </w:p>
    <w:p w14:paraId="4583F21F" w14:textId="288AB7DA" w:rsidR="00193207" w:rsidRPr="00B14963" w:rsidRDefault="00193207"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April 12, 2021</w:t>
      </w:r>
      <w:r w:rsidRPr="00B14963">
        <w:rPr>
          <w:rFonts w:ascii="Times New Roman" w:hAnsi="Times New Roman" w:cs="Times New Roman"/>
          <w:sz w:val="20"/>
          <w:szCs w:val="20"/>
        </w:rPr>
        <w:t xml:space="preserve"> – Marble </w:t>
      </w:r>
      <w:r w:rsidR="004026D6">
        <w:rPr>
          <w:rFonts w:ascii="Times New Roman" w:hAnsi="Times New Roman" w:cs="Times New Roman"/>
          <w:sz w:val="20"/>
          <w:szCs w:val="20"/>
        </w:rPr>
        <w:t xml:space="preserve">announced that it had </w:t>
      </w:r>
      <w:r w:rsidRPr="00B14963">
        <w:rPr>
          <w:rFonts w:ascii="Times New Roman" w:hAnsi="Times New Roman" w:cs="Times New Roman"/>
          <w:sz w:val="20"/>
          <w:szCs w:val="20"/>
        </w:rPr>
        <w:t xml:space="preserve">closed the acquisition of </w:t>
      </w:r>
      <w:proofErr w:type="spellStart"/>
      <w:r w:rsidRPr="00B14963">
        <w:rPr>
          <w:rFonts w:ascii="Times New Roman" w:hAnsi="Times New Roman" w:cs="Times New Roman"/>
          <w:sz w:val="20"/>
          <w:szCs w:val="20"/>
        </w:rPr>
        <w:t>Inverite</w:t>
      </w:r>
      <w:proofErr w:type="spellEnd"/>
      <w:r w:rsidRPr="00B14963">
        <w:rPr>
          <w:rFonts w:ascii="Times New Roman" w:hAnsi="Times New Roman" w:cs="Times New Roman"/>
          <w:sz w:val="20"/>
          <w:szCs w:val="20"/>
        </w:rPr>
        <w:t xml:space="preserve">, a Canadian financial technology provider for real-time access to financial data and insights.  Marble acquired </w:t>
      </w:r>
      <w:proofErr w:type="gramStart"/>
      <w:r w:rsidRPr="00B14963">
        <w:rPr>
          <w:rFonts w:ascii="Times New Roman" w:hAnsi="Times New Roman" w:cs="Times New Roman"/>
          <w:sz w:val="20"/>
          <w:szCs w:val="20"/>
        </w:rPr>
        <w:t>all of</w:t>
      </w:r>
      <w:proofErr w:type="gramEnd"/>
      <w:r w:rsidRPr="00B14963">
        <w:rPr>
          <w:rFonts w:ascii="Times New Roman" w:hAnsi="Times New Roman" w:cs="Times New Roman"/>
          <w:sz w:val="20"/>
          <w:szCs w:val="20"/>
        </w:rPr>
        <w:t xml:space="preserve"> the issued and outstanding shares of </w:t>
      </w:r>
      <w:proofErr w:type="spellStart"/>
      <w:r w:rsidRPr="00B14963">
        <w:rPr>
          <w:rFonts w:ascii="Times New Roman" w:hAnsi="Times New Roman" w:cs="Times New Roman"/>
          <w:sz w:val="20"/>
          <w:szCs w:val="20"/>
        </w:rPr>
        <w:t>Inverite</w:t>
      </w:r>
      <w:proofErr w:type="spellEnd"/>
      <w:r w:rsidRPr="00B14963">
        <w:rPr>
          <w:rFonts w:ascii="Times New Roman" w:hAnsi="Times New Roman" w:cs="Times New Roman"/>
          <w:sz w:val="20"/>
          <w:szCs w:val="20"/>
        </w:rPr>
        <w:t xml:space="preserve"> for a purchase price of $1,460,000 plus an earn out provision of up to $2,500,000, calculated based on a multiple of Annual Incremental Revenue (“AIR”) of </w:t>
      </w:r>
      <w:proofErr w:type="spellStart"/>
      <w:r w:rsidRPr="00B14963">
        <w:rPr>
          <w:rFonts w:ascii="Times New Roman" w:hAnsi="Times New Roman" w:cs="Times New Roman"/>
          <w:sz w:val="20"/>
          <w:szCs w:val="20"/>
        </w:rPr>
        <w:t>Inverite</w:t>
      </w:r>
      <w:proofErr w:type="spellEnd"/>
      <w:r w:rsidRPr="00B14963">
        <w:rPr>
          <w:rFonts w:ascii="Times New Roman" w:hAnsi="Times New Roman" w:cs="Times New Roman"/>
          <w:sz w:val="20"/>
          <w:szCs w:val="20"/>
        </w:rPr>
        <w:t xml:space="preserve"> over the two consecutive one-year periods following the closing, payable in cash or common shares at the option of Marble. </w:t>
      </w:r>
    </w:p>
    <w:p w14:paraId="71EC7B9B" w14:textId="77777777" w:rsidR="00193207" w:rsidRPr="00B14963" w:rsidRDefault="00193207" w:rsidP="00193207">
      <w:pPr>
        <w:pStyle w:val="ListParagraph"/>
        <w:spacing w:after="0" w:line="240" w:lineRule="auto"/>
        <w:ind w:left="567"/>
        <w:jc w:val="both"/>
        <w:rPr>
          <w:rFonts w:ascii="Times New Roman" w:hAnsi="Times New Roman" w:cs="Times New Roman"/>
          <w:sz w:val="20"/>
          <w:szCs w:val="20"/>
        </w:rPr>
      </w:pPr>
    </w:p>
    <w:p w14:paraId="184EDC2D" w14:textId="44F85E18" w:rsidR="00193207" w:rsidRPr="00B14963" w:rsidRDefault="00193207"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April 7, 2021</w:t>
      </w:r>
      <w:r w:rsidRPr="00B14963">
        <w:rPr>
          <w:rFonts w:ascii="Times New Roman" w:hAnsi="Times New Roman" w:cs="Times New Roman"/>
          <w:sz w:val="20"/>
          <w:szCs w:val="20"/>
        </w:rPr>
        <w:t xml:space="preserve"> – Marble completed a non-brokered private placement of unsecured convertible debentures (the “New Debentures”) for gross proceeds of $1,303,000.  The New Debentures have a 15-month term and accrue simple interest at a rate of 10% per annum, payable semi-annually. The principal amount of the New Debentures will be convertible, at the option of the holder, into units at a price of $0.30 per unit. Each unit will be comprised of one common share and one-half of one common share purchase warrant, with each whole warrant entitling the holder to purchase an additional common share at a price of at a price of $0.45 for a period of 21 months from closing.  If, at any time after the date that is four months and one day after closing, Marble’s common shares have traded or closed at a price of $0.60 or more for 10 consecutive trading days on the CSE (or such other stock exchange where the majority of trading volume occurs), Marble has the right, in its sole discretion, to force the conversion of all or any part of the principal of the debentures into units at a price of $0.30 per unit by giving notice via news release.</w:t>
      </w:r>
    </w:p>
    <w:p w14:paraId="24616F5C" w14:textId="77777777" w:rsidR="00193207" w:rsidRPr="00B14963" w:rsidRDefault="00193207" w:rsidP="00193207">
      <w:pPr>
        <w:pStyle w:val="ListParagraph"/>
        <w:rPr>
          <w:rFonts w:ascii="Times New Roman" w:hAnsi="Times New Roman" w:cs="Times New Roman"/>
          <w:sz w:val="20"/>
          <w:szCs w:val="20"/>
        </w:rPr>
      </w:pPr>
    </w:p>
    <w:p w14:paraId="48F9DB10" w14:textId="7A53B851" w:rsidR="00193207" w:rsidRPr="00B14963" w:rsidRDefault="00193207"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March 26, 2021</w:t>
      </w:r>
      <w:r w:rsidRPr="00B14963">
        <w:rPr>
          <w:rFonts w:ascii="Times New Roman" w:hAnsi="Times New Roman" w:cs="Times New Roman"/>
          <w:sz w:val="20"/>
          <w:szCs w:val="20"/>
        </w:rPr>
        <w:t xml:space="preserve"> – Marble completed a non-brokered private placement and issued 2,333,</w:t>
      </w:r>
      <w:r w:rsidR="00392A70" w:rsidRPr="00B14963">
        <w:rPr>
          <w:rFonts w:ascii="Times New Roman" w:hAnsi="Times New Roman" w:cs="Times New Roman"/>
          <w:sz w:val="20"/>
          <w:szCs w:val="20"/>
        </w:rPr>
        <w:t xml:space="preserve">334 </w:t>
      </w:r>
      <w:r w:rsidRPr="00B14963">
        <w:rPr>
          <w:rFonts w:ascii="Times New Roman" w:hAnsi="Times New Roman" w:cs="Times New Roman"/>
          <w:sz w:val="20"/>
          <w:szCs w:val="20"/>
        </w:rPr>
        <w:t xml:space="preserve">units at a price of $0.30 per unit for gross proceeds of $700,000. Each unit is comprised of one common share and one-half of a common share purchase warrant, with each whole warrant entitling the holder to purchase an additional common share at a price of $0.45 for a period of 12 months following the closing date, subject to accelerated expiry if Marble’s common shares trade or close at a price of $0.55 or more for 10 consecutive trading days on the CSE. </w:t>
      </w:r>
    </w:p>
    <w:p w14:paraId="7B76A94D" w14:textId="77777777" w:rsidR="00193207" w:rsidRPr="00B14963" w:rsidRDefault="00193207" w:rsidP="00193207">
      <w:pPr>
        <w:pStyle w:val="ListParagraph"/>
        <w:spacing w:after="0" w:line="240" w:lineRule="auto"/>
        <w:ind w:left="567"/>
        <w:jc w:val="both"/>
        <w:rPr>
          <w:rFonts w:ascii="Times New Roman" w:hAnsi="Times New Roman" w:cs="Times New Roman"/>
          <w:sz w:val="20"/>
          <w:szCs w:val="20"/>
        </w:rPr>
      </w:pPr>
    </w:p>
    <w:p w14:paraId="1249ED74" w14:textId="65DD63C7" w:rsidR="00193207" w:rsidRPr="00B14963" w:rsidRDefault="00193207"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 xml:space="preserve">February 22, 2021 </w:t>
      </w:r>
      <w:r w:rsidRPr="00B14963">
        <w:rPr>
          <w:rFonts w:ascii="Times New Roman" w:hAnsi="Times New Roman" w:cs="Times New Roman"/>
          <w:sz w:val="20"/>
          <w:szCs w:val="20"/>
        </w:rPr>
        <w:t>- T</w:t>
      </w:r>
      <w:r w:rsidRPr="00B14963">
        <w:rPr>
          <w:rFonts w:ascii="Times New Roman" w:hAnsi="Times New Roman" w:cs="Times New Roman"/>
          <w:iCs/>
          <w:sz w:val="20"/>
          <w:szCs w:val="20"/>
        </w:rPr>
        <w:t xml:space="preserve">he </w:t>
      </w:r>
      <w:r w:rsidR="004026D6">
        <w:rPr>
          <w:rFonts w:ascii="Times New Roman" w:hAnsi="Times New Roman" w:cs="Times New Roman"/>
          <w:iCs/>
          <w:sz w:val="20"/>
          <w:szCs w:val="20"/>
        </w:rPr>
        <w:t>aggregate principal amount of $460,000 of</w:t>
      </w:r>
      <w:r w:rsidR="004026D6" w:rsidRPr="00B14963">
        <w:rPr>
          <w:rFonts w:ascii="Times New Roman" w:hAnsi="Times New Roman" w:cs="Times New Roman"/>
          <w:iCs/>
          <w:sz w:val="20"/>
          <w:szCs w:val="20"/>
        </w:rPr>
        <w:t xml:space="preserve"> </w:t>
      </w:r>
      <w:r w:rsidR="00392A70" w:rsidRPr="00B14963">
        <w:rPr>
          <w:rFonts w:ascii="Times New Roman" w:hAnsi="Times New Roman" w:cs="Times New Roman"/>
          <w:iCs/>
          <w:sz w:val="20"/>
          <w:szCs w:val="20"/>
        </w:rPr>
        <w:t xml:space="preserve">12% </w:t>
      </w:r>
      <w:r w:rsidR="00264753" w:rsidRPr="00B14963">
        <w:rPr>
          <w:rFonts w:ascii="Times New Roman" w:hAnsi="Times New Roman" w:cs="Times New Roman"/>
          <w:iCs/>
          <w:sz w:val="20"/>
          <w:szCs w:val="20"/>
        </w:rPr>
        <w:t>convertible d</w:t>
      </w:r>
      <w:r w:rsidRPr="00B14963">
        <w:rPr>
          <w:rFonts w:ascii="Times New Roman" w:hAnsi="Times New Roman" w:cs="Times New Roman"/>
          <w:iCs/>
          <w:sz w:val="20"/>
          <w:szCs w:val="20"/>
        </w:rPr>
        <w:t>ebentures were converted into 1,533,333 common shares</w:t>
      </w:r>
      <w:r w:rsidR="00DE63C1" w:rsidRPr="00B14963">
        <w:rPr>
          <w:rFonts w:ascii="Times New Roman" w:hAnsi="Times New Roman" w:cs="Times New Roman"/>
          <w:iCs/>
          <w:sz w:val="20"/>
          <w:szCs w:val="20"/>
        </w:rPr>
        <w:t xml:space="preserve"> which resulted in a loss on settlement of $</w:t>
      </w:r>
      <w:r w:rsidR="001B5112" w:rsidRPr="00B14963">
        <w:rPr>
          <w:rFonts w:ascii="Times New Roman" w:hAnsi="Times New Roman" w:cs="Times New Roman"/>
          <w:iCs/>
          <w:sz w:val="20"/>
          <w:szCs w:val="20"/>
        </w:rPr>
        <w:t>22,036</w:t>
      </w:r>
      <w:r w:rsidRPr="00B14963">
        <w:rPr>
          <w:rFonts w:ascii="Times New Roman" w:hAnsi="Times New Roman" w:cs="Times New Roman"/>
          <w:iCs/>
          <w:sz w:val="20"/>
          <w:szCs w:val="20"/>
        </w:rPr>
        <w:t>.</w:t>
      </w:r>
    </w:p>
    <w:p w14:paraId="66B5DAD0" w14:textId="77777777" w:rsidR="00193207" w:rsidRPr="00B14963" w:rsidRDefault="00193207" w:rsidP="001856B2">
      <w:pPr>
        <w:spacing w:after="0" w:line="240" w:lineRule="auto"/>
        <w:jc w:val="both"/>
        <w:rPr>
          <w:rFonts w:ascii="Times New Roman" w:hAnsi="Times New Roman" w:cs="Times New Roman"/>
          <w:sz w:val="20"/>
          <w:szCs w:val="20"/>
        </w:rPr>
      </w:pPr>
    </w:p>
    <w:p w14:paraId="699853F2" w14:textId="63885CE6" w:rsidR="00193207" w:rsidRDefault="00193207"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February 2, 2021</w:t>
      </w:r>
      <w:r w:rsidRPr="00B14963">
        <w:rPr>
          <w:rFonts w:ascii="Times New Roman" w:hAnsi="Times New Roman" w:cs="Times New Roman"/>
          <w:sz w:val="20"/>
          <w:szCs w:val="20"/>
        </w:rPr>
        <w:t xml:space="preserve"> – Marble completed a non-brokered private placement and issued 2,000,000 units at a price of $0.25 per unit for gross proceeds of $500,000.  Each unit is comprised of one common share and one-half of one common share purchase warrant, with each whole warrant entitling the holder to purchase an additional common share at a price of $0.35 for a period of 12 months following the closing date, subject to accelerated expiry if Marble’s common shares trade or close at a price of $0.45 or more for 10 consecutive trading days on the CSE.</w:t>
      </w:r>
      <w:r w:rsidR="001856B2" w:rsidRPr="00B14963">
        <w:rPr>
          <w:rFonts w:ascii="Times New Roman" w:hAnsi="Times New Roman" w:cs="Times New Roman"/>
          <w:sz w:val="20"/>
          <w:szCs w:val="20"/>
        </w:rPr>
        <w:t xml:space="preserve"> In connection with the private placement, the Company paid cash finders’ fees of $6,300.</w:t>
      </w:r>
    </w:p>
    <w:p w14:paraId="7B67CE28" w14:textId="77777777" w:rsidR="000B364D" w:rsidRPr="00F0696B" w:rsidRDefault="000B364D" w:rsidP="00F0696B">
      <w:pPr>
        <w:pStyle w:val="ListParagraph"/>
        <w:rPr>
          <w:rFonts w:ascii="Times New Roman" w:hAnsi="Times New Roman" w:cs="Times New Roman"/>
          <w:sz w:val="20"/>
          <w:szCs w:val="20"/>
        </w:rPr>
      </w:pPr>
    </w:p>
    <w:p w14:paraId="0160D8BF" w14:textId="4AEC6769" w:rsidR="000B364D" w:rsidRPr="00B14963" w:rsidRDefault="000B364D" w:rsidP="00F0696B">
      <w:pPr>
        <w:pStyle w:val="ListParagraph"/>
        <w:spacing w:after="0" w:line="240" w:lineRule="auto"/>
        <w:ind w:left="567"/>
        <w:jc w:val="both"/>
        <w:rPr>
          <w:rFonts w:ascii="Times New Roman" w:hAnsi="Times New Roman" w:cs="Times New Roman"/>
          <w:sz w:val="20"/>
          <w:szCs w:val="20"/>
        </w:rPr>
      </w:pPr>
      <w:r w:rsidRPr="000B364D">
        <w:rPr>
          <w:rFonts w:ascii="Times New Roman" w:hAnsi="Times New Roman" w:cs="Times New Roman"/>
          <w:sz w:val="20"/>
          <w:szCs w:val="20"/>
        </w:rPr>
        <w:t>During the review of the Q2 financial statements it was discovered that 400,000 unit were subscribed for but not paid for. The Company is in possession of the 400,000 units and has returned the 400,000 shares to treasury and cancelled the 200,000 warrants issued.</w:t>
      </w:r>
    </w:p>
    <w:p w14:paraId="47C228FA" w14:textId="77777777" w:rsidR="002F29C0" w:rsidRPr="00B14963" w:rsidRDefault="002F29C0" w:rsidP="003D68E7">
      <w:pPr>
        <w:pStyle w:val="ListParagraph"/>
        <w:rPr>
          <w:rFonts w:ascii="Times New Roman" w:hAnsi="Times New Roman" w:cs="Times New Roman"/>
          <w:sz w:val="20"/>
          <w:szCs w:val="20"/>
        </w:rPr>
      </w:pPr>
    </w:p>
    <w:p w14:paraId="2E45D326" w14:textId="6F91936D" w:rsidR="002F29C0" w:rsidRPr="00B14963" w:rsidRDefault="002F29C0" w:rsidP="00193207">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January 26, 2021</w:t>
      </w:r>
      <w:r w:rsidRPr="00B14963">
        <w:rPr>
          <w:rFonts w:ascii="Times New Roman" w:hAnsi="Times New Roman" w:cs="Times New Roman"/>
          <w:sz w:val="20"/>
          <w:szCs w:val="20"/>
        </w:rPr>
        <w:t xml:space="preserve"> – Marble announced it had entered into an agreement with </w:t>
      </w:r>
      <w:proofErr w:type="spellStart"/>
      <w:r w:rsidRPr="00B14963">
        <w:rPr>
          <w:rFonts w:ascii="Times New Roman" w:hAnsi="Times New Roman" w:cs="Times New Roman"/>
          <w:sz w:val="20"/>
          <w:szCs w:val="20"/>
        </w:rPr>
        <w:t>VoPay</w:t>
      </w:r>
      <w:proofErr w:type="spellEnd"/>
      <w:r w:rsidRPr="00B14963">
        <w:rPr>
          <w:rFonts w:ascii="Times New Roman" w:hAnsi="Times New Roman" w:cs="Times New Roman"/>
          <w:sz w:val="20"/>
          <w:szCs w:val="20"/>
        </w:rPr>
        <w:t xml:space="preserve"> International Inc. (“</w:t>
      </w:r>
      <w:proofErr w:type="spellStart"/>
      <w:r w:rsidRPr="00B14963">
        <w:rPr>
          <w:rFonts w:ascii="Times New Roman" w:hAnsi="Times New Roman" w:cs="Times New Roman"/>
          <w:sz w:val="20"/>
          <w:szCs w:val="20"/>
        </w:rPr>
        <w:t>VoPay</w:t>
      </w:r>
      <w:proofErr w:type="spellEnd"/>
      <w:r w:rsidRPr="00B14963">
        <w:rPr>
          <w:rFonts w:ascii="Times New Roman" w:hAnsi="Times New Roman" w:cs="Times New Roman"/>
          <w:sz w:val="20"/>
          <w:szCs w:val="20"/>
        </w:rPr>
        <w:t xml:space="preserve">”) to allow the Company to integrate </w:t>
      </w:r>
      <w:proofErr w:type="spellStart"/>
      <w:r w:rsidRPr="00B14963">
        <w:rPr>
          <w:rFonts w:ascii="Times New Roman" w:hAnsi="Times New Roman" w:cs="Times New Roman"/>
          <w:sz w:val="20"/>
          <w:szCs w:val="20"/>
        </w:rPr>
        <w:t>VoPay’s</w:t>
      </w:r>
      <w:proofErr w:type="spellEnd"/>
      <w:r w:rsidRPr="00B14963">
        <w:rPr>
          <w:rFonts w:ascii="Times New Roman" w:hAnsi="Times New Roman" w:cs="Times New Roman"/>
          <w:sz w:val="20"/>
          <w:szCs w:val="20"/>
        </w:rPr>
        <w:t xml:space="preserve"> technology into the </w:t>
      </w:r>
      <w:proofErr w:type="spellStart"/>
      <w:r w:rsidRPr="00B14963">
        <w:rPr>
          <w:rFonts w:ascii="Times New Roman" w:hAnsi="Times New Roman" w:cs="Times New Roman"/>
          <w:sz w:val="20"/>
          <w:szCs w:val="20"/>
        </w:rPr>
        <w:t>MyMarble</w:t>
      </w:r>
      <w:proofErr w:type="spellEnd"/>
      <w:r w:rsidRPr="00B14963">
        <w:rPr>
          <w:rFonts w:ascii="Times New Roman" w:hAnsi="Times New Roman" w:cs="Times New Roman"/>
          <w:sz w:val="20"/>
          <w:szCs w:val="20"/>
        </w:rPr>
        <w:t xml:space="preserve"> Platform which will allow electronic funds transfer payments to be offered to </w:t>
      </w:r>
      <w:proofErr w:type="spellStart"/>
      <w:r w:rsidRPr="00B14963">
        <w:rPr>
          <w:rFonts w:ascii="Times New Roman" w:hAnsi="Times New Roman" w:cs="Times New Roman"/>
          <w:sz w:val="20"/>
          <w:szCs w:val="20"/>
        </w:rPr>
        <w:t>MyMarble</w:t>
      </w:r>
      <w:proofErr w:type="spellEnd"/>
      <w:r w:rsidRPr="00B14963">
        <w:rPr>
          <w:rFonts w:ascii="Times New Roman" w:hAnsi="Times New Roman" w:cs="Times New Roman"/>
          <w:sz w:val="20"/>
          <w:szCs w:val="20"/>
        </w:rPr>
        <w:t xml:space="preserve"> clients.</w:t>
      </w:r>
    </w:p>
    <w:p w14:paraId="7213A565" w14:textId="1664C280" w:rsidR="004026D6" w:rsidRDefault="004026D6">
      <w:pPr>
        <w:rPr>
          <w:rFonts w:ascii="Times New Roman" w:hAnsi="Times New Roman" w:cs="Times New Roman"/>
          <w:sz w:val="20"/>
          <w:szCs w:val="20"/>
        </w:rPr>
      </w:pPr>
      <w:r>
        <w:rPr>
          <w:rFonts w:ascii="Times New Roman" w:hAnsi="Times New Roman" w:cs="Times New Roman"/>
          <w:sz w:val="20"/>
          <w:szCs w:val="20"/>
        </w:rPr>
        <w:br w:type="page"/>
      </w:r>
    </w:p>
    <w:p w14:paraId="4C1101DF" w14:textId="666441CF" w:rsidR="001856B2" w:rsidRPr="00B14963" w:rsidRDefault="00193207" w:rsidP="001856B2">
      <w:pPr>
        <w:pStyle w:val="ListParagraph"/>
        <w:numPr>
          <w:ilvl w:val="0"/>
          <w:numId w:val="12"/>
        </w:numPr>
        <w:spacing w:after="0" w:line="240" w:lineRule="auto"/>
        <w:ind w:left="567" w:hanging="567"/>
        <w:jc w:val="both"/>
        <w:rPr>
          <w:rFonts w:ascii="Times New Roman" w:hAnsi="Times New Roman" w:cs="Times New Roman"/>
          <w:b/>
          <w:bCs/>
          <w:sz w:val="20"/>
          <w:szCs w:val="20"/>
        </w:rPr>
      </w:pPr>
      <w:r w:rsidRPr="00B14963">
        <w:rPr>
          <w:rFonts w:ascii="Times New Roman" w:hAnsi="Times New Roman" w:cs="Times New Roman"/>
          <w:b/>
          <w:bCs/>
          <w:sz w:val="20"/>
          <w:szCs w:val="20"/>
        </w:rPr>
        <w:lastRenderedPageBreak/>
        <w:t xml:space="preserve">January 22, 2021 – </w:t>
      </w:r>
      <w:r w:rsidR="001856B2" w:rsidRPr="00B14963">
        <w:rPr>
          <w:rFonts w:ascii="Times New Roman" w:hAnsi="Times New Roman" w:cs="Times New Roman"/>
          <w:sz w:val="20"/>
          <w:szCs w:val="20"/>
        </w:rPr>
        <w:t>Marble launched a 12-month online marketing campaign through AGORACOM Internet Relations Corp</w:t>
      </w:r>
      <w:r w:rsidR="002F29C0" w:rsidRPr="00B14963">
        <w:rPr>
          <w:rFonts w:ascii="Times New Roman" w:hAnsi="Times New Roman" w:cs="Times New Roman"/>
          <w:sz w:val="20"/>
          <w:szCs w:val="20"/>
        </w:rPr>
        <w:t>. (“AGORACOM”)</w:t>
      </w:r>
      <w:r w:rsidR="001856B2" w:rsidRPr="00B14963">
        <w:rPr>
          <w:rFonts w:ascii="Times New Roman" w:hAnsi="Times New Roman" w:cs="Times New Roman"/>
          <w:sz w:val="20"/>
          <w:szCs w:val="20"/>
        </w:rPr>
        <w:t xml:space="preserve">. The total cost of the campaign is $75,000 plus applicable taxes, payable </w:t>
      </w:r>
      <w:r w:rsidR="002F29C0" w:rsidRPr="00B14963">
        <w:rPr>
          <w:rFonts w:ascii="Times New Roman" w:hAnsi="Times New Roman" w:cs="Times New Roman"/>
          <w:sz w:val="20"/>
          <w:szCs w:val="20"/>
        </w:rPr>
        <w:t xml:space="preserve">through the issuance of </w:t>
      </w:r>
      <w:r w:rsidR="001856B2" w:rsidRPr="00B14963">
        <w:rPr>
          <w:rFonts w:ascii="Times New Roman" w:hAnsi="Times New Roman" w:cs="Times New Roman"/>
          <w:sz w:val="20"/>
          <w:szCs w:val="20"/>
        </w:rPr>
        <w:t xml:space="preserve">common shares with the first 20% of the fee payable on the commencement date and 20% at the end of each of the third, sixth, ninth and twelfth months thereafter. Marble issued 40,843 common shares on January 27, </w:t>
      </w:r>
      <w:proofErr w:type="gramStart"/>
      <w:r w:rsidR="001856B2" w:rsidRPr="00B14963">
        <w:rPr>
          <w:rFonts w:ascii="Times New Roman" w:hAnsi="Times New Roman" w:cs="Times New Roman"/>
          <w:sz w:val="20"/>
          <w:szCs w:val="20"/>
        </w:rPr>
        <w:t>2021</w:t>
      </w:r>
      <w:proofErr w:type="gramEnd"/>
      <w:r w:rsidR="001856B2" w:rsidRPr="00B14963">
        <w:rPr>
          <w:rFonts w:ascii="Times New Roman" w:hAnsi="Times New Roman" w:cs="Times New Roman"/>
          <w:sz w:val="20"/>
          <w:szCs w:val="20"/>
        </w:rPr>
        <w:t xml:space="preserve"> from treasury, for the first installment of the AGORACOM </w:t>
      </w:r>
      <w:r w:rsidR="002F29C0" w:rsidRPr="00B14963">
        <w:rPr>
          <w:rFonts w:ascii="Times New Roman" w:hAnsi="Times New Roman" w:cs="Times New Roman"/>
          <w:sz w:val="20"/>
          <w:szCs w:val="20"/>
        </w:rPr>
        <w:t>fee</w:t>
      </w:r>
      <w:r w:rsidR="001856B2" w:rsidRPr="00B14963">
        <w:rPr>
          <w:rFonts w:ascii="Times New Roman" w:hAnsi="Times New Roman" w:cs="Times New Roman"/>
          <w:sz w:val="20"/>
          <w:szCs w:val="20"/>
        </w:rPr>
        <w:t>.</w:t>
      </w:r>
      <w:r w:rsidR="00264753" w:rsidRPr="00B14963">
        <w:rPr>
          <w:rFonts w:ascii="Times New Roman" w:hAnsi="Times New Roman" w:cs="Times New Roman"/>
          <w:sz w:val="20"/>
          <w:szCs w:val="20"/>
        </w:rPr>
        <w:t xml:space="preserve">  The fair value of the 40,843 common shares was determined to be $15,000</w:t>
      </w:r>
      <w:r w:rsidR="0045474D" w:rsidRPr="00B14963">
        <w:rPr>
          <w:rFonts w:ascii="Times New Roman" w:hAnsi="Times New Roman" w:cs="Times New Roman"/>
          <w:sz w:val="20"/>
          <w:szCs w:val="20"/>
        </w:rPr>
        <w:t xml:space="preserve"> plus tax</w:t>
      </w:r>
      <w:r w:rsidR="00264753" w:rsidRPr="00B14963">
        <w:rPr>
          <w:rFonts w:ascii="Times New Roman" w:hAnsi="Times New Roman" w:cs="Times New Roman"/>
          <w:sz w:val="20"/>
          <w:szCs w:val="20"/>
        </w:rPr>
        <w:t>.</w:t>
      </w:r>
    </w:p>
    <w:p w14:paraId="101C868C" w14:textId="77777777" w:rsidR="002F29C0" w:rsidRPr="00B14963" w:rsidRDefault="002F29C0" w:rsidP="003D68E7">
      <w:pPr>
        <w:pStyle w:val="ListParagraph"/>
        <w:rPr>
          <w:rFonts w:ascii="Times New Roman" w:hAnsi="Times New Roman" w:cs="Times New Roman"/>
          <w:b/>
          <w:bCs/>
          <w:sz w:val="20"/>
          <w:szCs w:val="20"/>
        </w:rPr>
      </w:pPr>
    </w:p>
    <w:p w14:paraId="660605E1" w14:textId="1AF3411E" w:rsidR="002F29C0" w:rsidRDefault="002F29C0" w:rsidP="001856B2">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January 21, 2021</w:t>
      </w:r>
      <w:r w:rsidRPr="00B14963">
        <w:rPr>
          <w:rFonts w:ascii="Times New Roman" w:hAnsi="Times New Roman" w:cs="Times New Roman"/>
          <w:sz w:val="20"/>
          <w:szCs w:val="20"/>
        </w:rPr>
        <w:t xml:space="preserve"> – Marble entered into a sublease agreement of its head office, commencing May 1, </w:t>
      </w:r>
      <w:proofErr w:type="gramStart"/>
      <w:r w:rsidRPr="00B14963">
        <w:rPr>
          <w:rFonts w:ascii="Times New Roman" w:hAnsi="Times New Roman" w:cs="Times New Roman"/>
          <w:sz w:val="20"/>
          <w:szCs w:val="20"/>
        </w:rPr>
        <w:t>2021</w:t>
      </w:r>
      <w:proofErr w:type="gramEnd"/>
      <w:r w:rsidRPr="00B14963">
        <w:rPr>
          <w:rFonts w:ascii="Times New Roman" w:hAnsi="Times New Roman" w:cs="Times New Roman"/>
          <w:sz w:val="20"/>
          <w:szCs w:val="20"/>
        </w:rPr>
        <w:t xml:space="preserve"> and expiring August 30, 2022.  The sublease is </w:t>
      </w:r>
      <w:proofErr w:type="gramStart"/>
      <w:r w:rsidRPr="00B14963">
        <w:rPr>
          <w:rFonts w:ascii="Times New Roman" w:hAnsi="Times New Roman" w:cs="Times New Roman"/>
          <w:sz w:val="20"/>
          <w:szCs w:val="20"/>
        </w:rPr>
        <w:t>for the amount of</w:t>
      </w:r>
      <w:proofErr w:type="gramEnd"/>
      <w:r w:rsidRPr="00B14963">
        <w:rPr>
          <w:rFonts w:ascii="Times New Roman" w:hAnsi="Times New Roman" w:cs="Times New Roman"/>
          <w:sz w:val="20"/>
          <w:szCs w:val="20"/>
        </w:rPr>
        <w:t xml:space="preserve"> $162,914 per annum and will reduce the Company’s minimum lease payments by $108,609 over the sublease term.</w:t>
      </w:r>
    </w:p>
    <w:p w14:paraId="0115EC13" w14:textId="77777777" w:rsidR="004026D6" w:rsidRPr="00F0696B" w:rsidRDefault="004026D6" w:rsidP="00F0696B">
      <w:pPr>
        <w:spacing w:after="0" w:line="240" w:lineRule="auto"/>
        <w:jc w:val="both"/>
        <w:rPr>
          <w:rFonts w:ascii="Times New Roman" w:hAnsi="Times New Roman" w:cs="Times New Roman"/>
          <w:sz w:val="20"/>
          <w:szCs w:val="20"/>
        </w:rPr>
      </w:pPr>
    </w:p>
    <w:p w14:paraId="2FF3E216" w14:textId="11B54447" w:rsidR="004026D6" w:rsidRPr="00B14963" w:rsidRDefault="004026D6" w:rsidP="004026D6">
      <w:pPr>
        <w:pStyle w:val="ListParagraph"/>
        <w:numPr>
          <w:ilvl w:val="0"/>
          <w:numId w:val="12"/>
        </w:numPr>
        <w:spacing w:after="0" w:line="240" w:lineRule="auto"/>
        <w:ind w:left="567" w:hanging="567"/>
        <w:jc w:val="both"/>
        <w:rPr>
          <w:rFonts w:ascii="Times New Roman" w:hAnsi="Times New Roman" w:cs="Times New Roman"/>
          <w:sz w:val="20"/>
          <w:szCs w:val="20"/>
        </w:rPr>
      </w:pPr>
      <w:r w:rsidRPr="00B14963">
        <w:rPr>
          <w:rFonts w:ascii="Times New Roman" w:hAnsi="Times New Roman" w:cs="Times New Roman"/>
          <w:b/>
          <w:bCs/>
          <w:sz w:val="20"/>
          <w:szCs w:val="20"/>
        </w:rPr>
        <w:t xml:space="preserve">January </w:t>
      </w:r>
      <w:r>
        <w:rPr>
          <w:rFonts w:ascii="Times New Roman" w:hAnsi="Times New Roman" w:cs="Times New Roman"/>
          <w:b/>
          <w:bCs/>
          <w:sz w:val="20"/>
          <w:szCs w:val="20"/>
        </w:rPr>
        <w:t>18</w:t>
      </w:r>
      <w:r w:rsidRPr="00B14963">
        <w:rPr>
          <w:rFonts w:ascii="Times New Roman" w:hAnsi="Times New Roman" w:cs="Times New Roman"/>
          <w:b/>
          <w:bCs/>
          <w:sz w:val="20"/>
          <w:szCs w:val="20"/>
        </w:rPr>
        <w:t>, 2021</w:t>
      </w:r>
      <w:r w:rsidRPr="00B14963">
        <w:rPr>
          <w:rFonts w:ascii="Times New Roman" w:hAnsi="Times New Roman" w:cs="Times New Roman"/>
          <w:sz w:val="20"/>
          <w:szCs w:val="20"/>
        </w:rPr>
        <w:t xml:space="preserve"> – Marble </w:t>
      </w:r>
      <w:r>
        <w:rPr>
          <w:rFonts w:ascii="Times New Roman" w:hAnsi="Times New Roman" w:cs="Times New Roman"/>
          <w:sz w:val="20"/>
          <w:szCs w:val="20"/>
        </w:rPr>
        <w:t xml:space="preserve">announced that it had </w:t>
      </w:r>
      <w:proofErr w:type="gramStart"/>
      <w:r>
        <w:rPr>
          <w:rFonts w:ascii="Times New Roman" w:hAnsi="Times New Roman" w:cs="Times New Roman"/>
          <w:sz w:val="20"/>
          <w:szCs w:val="20"/>
        </w:rPr>
        <w:t>entered into</w:t>
      </w:r>
      <w:proofErr w:type="gramEnd"/>
      <w:r>
        <w:rPr>
          <w:rFonts w:ascii="Times New Roman" w:hAnsi="Times New Roman" w:cs="Times New Roman"/>
          <w:sz w:val="20"/>
          <w:szCs w:val="20"/>
        </w:rPr>
        <w:t xml:space="preserve"> a binding letter of intent to acquire </w:t>
      </w:r>
      <w:proofErr w:type="spellStart"/>
      <w:r>
        <w:rPr>
          <w:rFonts w:ascii="Times New Roman" w:hAnsi="Times New Roman" w:cs="Times New Roman"/>
          <w:sz w:val="20"/>
          <w:szCs w:val="20"/>
        </w:rPr>
        <w:t>Inverite</w:t>
      </w:r>
      <w:proofErr w:type="spellEnd"/>
      <w:r>
        <w:rPr>
          <w:rFonts w:ascii="Times New Roman" w:hAnsi="Times New Roman" w:cs="Times New Roman"/>
          <w:sz w:val="20"/>
          <w:szCs w:val="20"/>
        </w:rPr>
        <w:t>.</w:t>
      </w:r>
    </w:p>
    <w:p w14:paraId="10E745A0" w14:textId="77777777" w:rsidR="004026D6" w:rsidRPr="00F0696B" w:rsidRDefault="004026D6" w:rsidP="00F0696B">
      <w:pPr>
        <w:spacing w:after="0" w:line="240" w:lineRule="auto"/>
        <w:jc w:val="both"/>
        <w:rPr>
          <w:rFonts w:ascii="Times New Roman" w:hAnsi="Times New Roman" w:cs="Times New Roman"/>
          <w:sz w:val="20"/>
          <w:szCs w:val="20"/>
        </w:rPr>
      </w:pPr>
    </w:p>
    <w:p w14:paraId="63DC6620" w14:textId="18E75F31" w:rsidR="006464C2" w:rsidRPr="00665759" w:rsidRDefault="009D6D5E" w:rsidP="009D4388">
      <w:pPr>
        <w:spacing w:after="0" w:line="240" w:lineRule="auto"/>
        <w:jc w:val="both"/>
        <w:rPr>
          <w:rFonts w:ascii="Times New Roman" w:hAnsi="Times New Roman" w:cs="Times New Roman"/>
          <w:b/>
          <w:sz w:val="20"/>
          <w:szCs w:val="20"/>
        </w:rPr>
      </w:pPr>
      <w:bookmarkStart w:id="3" w:name="_Hlk72142559"/>
      <w:bookmarkEnd w:id="2"/>
      <w:r w:rsidRPr="0006706B">
        <w:rPr>
          <w:rFonts w:ascii="Times New Roman" w:hAnsi="Times New Roman" w:cs="Times New Roman"/>
          <w:b/>
          <w:sz w:val="20"/>
          <w:szCs w:val="20"/>
        </w:rPr>
        <w:t>DISCUSSION OF OPERATIONS</w:t>
      </w:r>
    </w:p>
    <w:bookmarkEnd w:id="3"/>
    <w:p w14:paraId="408422BB" w14:textId="77777777" w:rsidR="009D6D5E" w:rsidRDefault="009D6D5E" w:rsidP="009D4388">
      <w:pPr>
        <w:spacing w:after="0" w:line="240" w:lineRule="auto"/>
        <w:jc w:val="both"/>
        <w:rPr>
          <w:rFonts w:ascii="Times New Roman" w:hAnsi="Times New Roman" w:cs="Times New Roman"/>
          <w:sz w:val="20"/>
          <w:szCs w:val="20"/>
        </w:rPr>
      </w:pPr>
    </w:p>
    <w:p w14:paraId="380208CE" w14:textId="53AE33AC" w:rsidR="006D7D04" w:rsidRPr="00B91F50" w:rsidRDefault="006D7D04" w:rsidP="006D7D04">
      <w:pPr>
        <w:spacing w:after="0" w:line="240" w:lineRule="auto"/>
        <w:jc w:val="both"/>
        <w:rPr>
          <w:rFonts w:ascii="Times New Roman" w:hAnsi="Times New Roman" w:cs="Times New Roman"/>
          <w:sz w:val="20"/>
          <w:szCs w:val="20"/>
        </w:rPr>
      </w:pPr>
      <w:r w:rsidRPr="00B91F50">
        <w:rPr>
          <w:rFonts w:ascii="Times New Roman" w:hAnsi="Times New Roman" w:cs="Times New Roman"/>
          <w:sz w:val="20"/>
          <w:szCs w:val="20"/>
        </w:rPr>
        <w:t xml:space="preserve">The key performance indicators that we use to manage our business and evaluate our financial results and operating performance consist </w:t>
      </w:r>
      <w:proofErr w:type="gramStart"/>
      <w:r w:rsidRPr="00B91F50">
        <w:rPr>
          <w:rFonts w:ascii="Times New Roman" w:hAnsi="Times New Roman" w:cs="Times New Roman"/>
          <w:sz w:val="20"/>
          <w:szCs w:val="20"/>
        </w:rPr>
        <w:t>of:</w:t>
      </w:r>
      <w:proofErr w:type="gramEnd"/>
      <w:r w:rsidRPr="00B91F50">
        <w:rPr>
          <w:rFonts w:ascii="Times New Roman" w:hAnsi="Times New Roman" w:cs="Times New Roman"/>
          <w:sz w:val="20"/>
          <w:szCs w:val="20"/>
        </w:rPr>
        <w:t xml:space="preserve"> </w:t>
      </w:r>
      <w:r>
        <w:rPr>
          <w:rFonts w:ascii="Times New Roman" w:hAnsi="Times New Roman" w:cs="Times New Roman"/>
          <w:sz w:val="20"/>
          <w:szCs w:val="20"/>
        </w:rPr>
        <w:t>i</w:t>
      </w:r>
      <w:r w:rsidRPr="00B91F50">
        <w:rPr>
          <w:rFonts w:ascii="Times New Roman" w:hAnsi="Times New Roman" w:cs="Times New Roman"/>
          <w:sz w:val="20"/>
          <w:szCs w:val="20"/>
        </w:rPr>
        <w:t>nterest income, fee-based revenue</w:t>
      </w:r>
      <w:r w:rsidR="004026D6">
        <w:rPr>
          <w:rFonts w:ascii="Times New Roman" w:hAnsi="Times New Roman" w:cs="Times New Roman"/>
          <w:sz w:val="20"/>
          <w:szCs w:val="20"/>
        </w:rPr>
        <w:t>, verification revenue</w:t>
      </w:r>
      <w:r w:rsidRPr="00B91F50">
        <w:rPr>
          <w:rFonts w:ascii="Times New Roman" w:hAnsi="Times New Roman" w:cs="Times New Roman"/>
          <w:sz w:val="20"/>
          <w:szCs w:val="20"/>
        </w:rPr>
        <w:t>, gross profit, funding interest expense, operating expenses, and net income (loss) and growth in loans issued.</w:t>
      </w:r>
    </w:p>
    <w:p w14:paraId="350634A9" w14:textId="77777777" w:rsidR="002C51FD" w:rsidRDefault="002C51FD" w:rsidP="006D7D04">
      <w:pPr>
        <w:spacing w:after="0" w:line="240" w:lineRule="auto"/>
        <w:jc w:val="both"/>
        <w:rPr>
          <w:rFonts w:ascii="Times New Roman" w:hAnsi="Times New Roman" w:cs="Times New Roman"/>
          <w:b/>
          <w:bCs/>
          <w:i/>
          <w:iCs/>
          <w:sz w:val="20"/>
          <w:szCs w:val="20"/>
        </w:rPr>
      </w:pPr>
    </w:p>
    <w:p w14:paraId="6A686C8A" w14:textId="2F06DAD7" w:rsidR="006D7D04" w:rsidRPr="00B91F50" w:rsidRDefault="006D7D04" w:rsidP="006D7D04">
      <w:pPr>
        <w:spacing w:after="0" w:line="240" w:lineRule="auto"/>
        <w:jc w:val="both"/>
        <w:rPr>
          <w:rFonts w:ascii="Times New Roman" w:hAnsi="Times New Roman" w:cs="Times New Roman"/>
          <w:b/>
          <w:bCs/>
          <w:sz w:val="20"/>
          <w:szCs w:val="20"/>
        </w:rPr>
      </w:pPr>
      <w:r>
        <w:rPr>
          <w:rFonts w:ascii="Times New Roman" w:hAnsi="Times New Roman" w:cs="Times New Roman"/>
          <w:b/>
          <w:bCs/>
          <w:i/>
          <w:iCs/>
          <w:sz w:val="20"/>
          <w:szCs w:val="20"/>
        </w:rPr>
        <w:t xml:space="preserve">Overall Operations </w:t>
      </w:r>
      <w:r w:rsidRPr="00B91F50">
        <w:rPr>
          <w:rFonts w:ascii="Times New Roman" w:hAnsi="Times New Roman" w:cs="Times New Roman"/>
          <w:b/>
          <w:bCs/>
          <w:i/>
          <w:iCs/>
          <w:sz w:val="20"/>
          <w:szCs w:val="20"/>
        </w:rPr>
        <w:t>and COVID-19</w:t>
      </w:r>
    </w:p>
    <w:p w14:paraId="4318EC82" w14:textId="77777777" w:rsidR="006D7D04" w:rsidRPr="00152D99" w:rsidRDefault="006D7D04" w:rsidP="006D7D04">
      <w:pPr>
        <w:spacing w:after="0" w:line="240" w:lineRule="auto"/>
        <w:jc w:val="both"/>
        <w:rPr>
          <w:rFonts w:ascii="Times New Roman" w:hAnsi="Times New Roman" w:cs="Times New Roman"/>
          <w:sz w:val="20"/>
          <w:szCs w:val="20"/>
          <w:highlight w:val="yellow"/>
        </w:rPr>
      </w:pPr>
    </w:p>
    <w:p w14:paraId="2E36132A" w14:textId="1B5ECA06" w:rsidR="006D7D04" w:rsidRDefault="006D7D04" w:rsidP="006D7D04">
      <w:pPr>
        <w:spacing w:after="0" w:line="230" w:lineRule="exact"/>
        <w:ind w:right="4"/>
        <w:jc w:val="both"/>
        <w:rPr>
          <w:rFonts w:ascii="Times New Roman" w:hAnsi="Times New Roman" w:cs="Times New Roman"/>
          <w:sz w:val="20"/>
          <w:szCs w:val="20"/>
        </w:rPr>
      </w:pPr>
      <w:r w:rsidRPr="001D69AA">
        <w:rPr>
          <w:rFonts w:ascii="Times New Roman" w:hAnsi="Times New Roman" w:cs="Times New Roman"/>
          <w:sz w:val="20"/>
          <w:szCs w:val="20"/>
        </w:rPr>
        <w:t xml:space="preserve">The Company has focused on four specific key operational strategies, namely: increasing product offerings, further developing the </w:t>
      </w:r>
      <w:proofErr w:type="spellStart"/>
      <w:r w:rsidRPr="001D69AA">
        <w:rPr>
          <w:rFonts w:ascii="Times New Roman" w:hAnsi="Times New Roman" w:cs="Times New Roman"/>
          <w:sz w:val="20"/>
          <w:szCs w:val="20"/>
        </w:rPr>
        <w:t>MyMarble</w:t>
      </w:r>
      <w:proofErr w:type="spellEnd"/>
      <w:r w:rsidRPr="001D69AA">
        <w:rPr>
          <w:rFonts w:ascii="Times New Roman" w:hAnsi="Times New Roman" w:cs="Times New Roman"/>
          <w:sz w:val="20"/>
          <w:szCs w:val="20"/>
        </w:rPr>
        <w:t xml:space="preserve"> Platform, utilizing data science and machine learning, and increasing third party industry and referral relationships with other financial services firms, all with the overall objective to drive sustainable growth and revenues. The Company has also focused on raising funds through the issuance of debt and equity securities to finance its operations, however </w:t>
      </w:r>
      <w:r w:rsidR="002F29C0">
        <w:rPr>
          <w:rFonts w:ascii="Times New Roman" w:hAnsi="Times New Roman" w:cs="Times New Roman"/>
          <w:sz w:val="20"/>
          <w:szCs w:val="20"/>
        </w:rPr>
        <w:t>starting in</w:t>
      </w:r>
      <w:r w:rsidR="002F29C0" w:rsidRPr="001D69AA">
        <w:rPr>
          <w:rFonts w:ascii="Times New Roman" w:hAnsi="Times New Roman" w:cs="Times New Roman"/>
          <w:sz w:val="20"/>
          <w:szCs w:val="20"/>
        </w:rPr>
        <w:t xml:space="preserve"> </w:t>
      </w:r>
      <w:r w:rsidRPr="001D69AA">
        <w:rPr>
          <w:rFonts w:ascii="Times New Roman" w:hAnsi="Times New Roman" w:cs="Times New Roman"/>
          <w:sz w:val="20"/>
          <w:szCs w:val="20"/>
        </w:rPr>
        <w:t>the first quarter of the 2020 fiscal year, the Company faced difficult capital markets resulting from COVID-19 pandemic.</w:t>
      </w:r>
    </w:p>
    <w:p w14:paraId="6B8A0739" w14:textId="77777777" w:rsidR="006D7D04" w:rsidRPr="001D69AA" w:rsidRDefault="006D7D04" w:rsidP="006D7D04">
      <w:pPr>
        <w:spacing w:after="0" w:line="230" w:lineRule="exact"/>
        <w:ind w:right="4"/>
        <w:jc w:val="both"/>
        <w:rPr>
          <w:rFonts w:ascii="Times New Roman" w:hAnsi="Times New Roman" w:cs="Times New Roman"/>
          <w:sz w:val="20"/>
          <w:szCs w:val="20"/>
        </w:rPr>
      </w:pPr>
    </w:p>
    <w:p w14:paraId="29441529" w14:textId="1EBF763F" w:rsidR="006D7D04" w:rsidRPr="001D69AA" w:rsidRDefault="006D7D04" w:rsidP="006D7D04">
      <w:pPr>
        <w:spacing w:after="0" w:line="229" w:lineRule="exact"/>
        <w:ind w:right="4"/>
        <w:jc w:val="both"/>
        <w:rPr>
          <w:rFonts w:ascii="Times New Roman" w:hAnsi="Times New Roman" w:cs="Times New Roman"/>
          <w:sz w:val="20"/>
          <w:szCs w:val="20"/>
        </w:rPr>
      </w:pPr>
      <w:r w:rsidRPr="001D69AA">
        <w:rPr>
          <w:rFonts w:ascii="Times New Roman" w:hAnsi="Times New Roman" w:cs="Times New Roman"/>
          <w:sz w:val="20"/>
          <w:szCs w:val="20"/>
        </w:rPr>
        <w:t xml:space="preserve">The Company currently derives the majority of its revenues from interest income derived from </w:t>
      </w:r>
      <w:proofErr w:type="gramStart"/>
      <w:r w:rsidRPr="001D69AA">
        <w:rPr>
          <w:rFonts w:ascii="Times New Roman" w:hAnsi="Times New Roman" w:cs="Times New Roman"/>
          <w:sz w:val="20"/>
          <w:szCs w:val="20"/>
        </w:rPr>
        <w:t>Fast</w:t>
      </w:r>
      <w:r>
        <w:rPr>
          <w:rFonts w:ascii="Times New Roman" w:hAnsi="Times New Roman" w:cs="Times New Roman"/>
          <w:sz w:val="20"/>
          <w:szCs w:val="20"/>
        </w:rPr>
        <w:t>-</w:t>
      </w:r>
      <w:r w:rsidRPr="001D69AA">
        <w:rPr>
          <w:rFonts w:ascii="Times New Roman" w:hAnsi="Times New Roman" w:cs="Times New Roman"/>
          <w:sz w:val="20"/>
          <w:szCs w:val="20"/>
        </w:rPr>
        <w:t xml:space="preserve">Track, </w:t>
      </w:r>
      <w:r w:rsidR="002F29C0">
        <w:rPr>
          <w:rFonts w:ascii="Times New Roman" w:hAnsi="Times New Roman" w:cs="Times New Roman"/>
          <w:sz w:val="20"/>
          <w:szCs w:val="20"/>
        </w:rPr>
        <w:t>and</w:t>
      </w:r>
      <w:proofErr w:type="gramEnd"/>
      <w:r w:rsidRPr="001D69AA">
        <w:rPr>
          <w:rFonts w:ascii="Times New Roman" w:hAnsi="Times New Roman" w:cs="Times New Roman"/>
          <w:sz w:val="20"/>
          <w:szCs w:val="20"/>
        </w:rPr>
        <w:t xml:space="preserve"> generates income from </w:t>
      </w:r>
      <w:r w:rsidR="00177725" w:rsidRPr="00177725">
        <w:rPr>
          <w:rFonts w:ascii="Times New Roman" w:hAnsi="Times New Roman" w:cs="Times New Roman"/>
          <w:sz w:val="20"/>
          <w:szCs w:val="20"/>
        </w:rPr>
        <w:t>customer subscription fees from its Score-up product</w:t>
      </w:r>
      <w:r w:rsidR="00177725">
        <w:rPr>
          <w:rFonts w:ascii="Times New Roman" w:hAnsi="Times New Roman" w:cs="Times New Roman"/>
          <w:sz w:val="20"/>
          <w:szCs w:val="20"/>
        </w:rPr>
        <w:t xml:space="preserve">, </w:t>
      </w:r>
      <w:r w:rsidRPr="001A66DD">
        <w:rPr>
          <w:rFonts w:ascii="Times New Roman" w:hAnsi="Times New Roman" w:cs="Times New Roman"/>
          <w:sz w:val="20"/>
          <w:szCs w:val="20"/>
        </w:rPr>
        <w:t>administration fees, SaaS and third-party monthly licensing.</w:t>
      </w:r>
      <w:r w:rsidRPr="001D69AA">
        <w:rPr>
          <w:rFonts w:ascii="Times New Roman" w:hAnsi="Times New Roman" w:cs="Times New Roman"/>
          <w:sz w:val="20"/>
          <w:szCs w:val="20"/>
        </w:rPr>
        <w:t xml:space="preserve"> </w:t>
      </w:r>
      <w:r w:rsidR="00177725">
        <w:rPr>
          <w:rFonts w:ascii="Times New Roman" w:hAnsi="Times New Roman" w:cs="Times New Roman"/>
          <w:sz w:val="20"/>
          <w:szCs w:val="20"/>
        </w:rPr>
        <w:t xml:space="preserve"> </w:t>
      </w:r>
      <w:r w:rsidRPr="001D69AA">
        <w:rPr>
          <w:rFonts w:ascii="Times New Roman" w:hAnsi="Times New Roman" w:cs="Times New Roman"/>
          <w:sz w:val="20"/>
          <w:szCs w:val="20"/>
        </w:rPr>
        <w:t xml:space="preserve">Subscription fees vary based on the subscription model and features the client elects to use.  License fees will also vary depending on the specific requirements for each third-party reseller.   </w:t>
      </w:r>
      <w:r w:rsidR="00D04F11">
        <w:rPr>
          <w:rFonts w:ascii="Times New Roman" w:hAnsi="Times New Roman" w:cs="Times New Roman"/>
          <w:sz w:val="20"/>
          <w:szCs w:val="20"/>
        </w:rPr>
        <w:t xml:space="preserve">Since the acquisition of </w:t>
      </w:r>
      <w:proofErr w:type="spellStart"/>
      <w:r w:rsidR="00D04F11">
        <w:rPr>
          <w:rFonts w:ascii="Times New Roman" w:hAnsi="Times New Roman" w:cs="Times New Roman"/>
          <w:sz w:val="20"/>
          <w:szCs w:val="20"/>
        </w:rPr>
        <w:t>Inverite</w:t>
      </w:r>
      <w:proofErr w:type="spellEnd"/>
      <w:r w:rsidR="00D04F11">
        <w:rPr>
          <w:rFonts w:ascii="Times New Roman" w:hAnsi="Times New Roman" w:cs="Times New Roman"/>
          <w:sz w:val="20"/>
          <w:szCs w:val="20"/>
        </w:rPr>
        <w:t xml:space="preserve">, the Company also generates verification fees via </w:t>
      </w:r>
      <w:proofErr w:type="spellStart"/>
      <w:r w:rsidR="00D04F11">
        <w:rPr>
          <w:rFonts w:ascii="Times New Roman" w:hAnsi="Times New Roman" w:cs="Times New Roman"/>
          <w:sz w:val="20"/>
          <w:szCs w:val="20"/>
        </w:rPr>
        <w:t>Inverite</w:t>
      </w:r>
      <w:proofErr w:type="spellEnd"/>
      <w:r w:rsidR="00D04F11">
        <w:rPr>
          <w:rFonts w:ascii="Times New Roman" w:hAnsi="Times New Roman" w:cs="Times New Roman"/>
          <w:sz w:val="20"/>
          <w:szCs w:val="20"/>
        </w:rPr>
        <w:t>.</w:t>
      </w:r>
    </w:p>
    <w:p w14:paraId="33EC9EB0" w14:textId="77777777" w:rsidR="006D7D04" w:rsidRPr="001D69AA" w:rsidRDefault="006D7D04" w:rsidP="006D7D04">
      <w:pPr>
        <w:spacing w:after="0" w:line="229" w:lineRule="exact"/>
        <w:ind w:right="4"/>
        <w:jc w:val="both"/>
        <w:rPr>
          <w:rFonts w:ascii="Times New Roman" w:hAnsi="Times New Roman" w:cs="Times New Roman"/>
          <w:sz w:val="20"/>
          <w:szCs w:val="20"/>
        </w:rPr>
      </w:pPr>
    </w:p>
    <w:p w14:paraId="179082C8" w14:textId="687FFBE3" w:rsidR="006D7D04" w:rsidRPr="001D69AA" w:rsidRDefault="006D7D04" w:rsidP="006D7D04">
      <w:pPr>
        <w:spacing w:after="0" w:line="230" w:lineRule="exact"/>
        <w:ind w:right="4"/>
        <w:jc w:val="both"/>
        <w:rPr>
          <w:rFonts w:ascii="Times New Roman" w:hAnsi="Times New Roman" w:cs="Times New Roman"/>
          <w:sz w:val="20"/>
          <w:szCs w:val="20"/>
        </w:rPr>
      </w:pPr>
      <w:r w:rsidRPr="001D69AA">
        <w:rPr>
          <w:rFonts w:ascii="Times New Roman" w:hAnsi="Times New Roman" w:cs="Times New Roman"/>
          <w:sz w:val="20"/>
          <w:szCs w:val="20"/>
        </w:rPr>
        <w:t xml:space="preserve">The 2019 acquisition of Score-Up has also allowed Marble to broaden its ability to enter into other third-party industry </w:t>
      </w:r>
      <w:r w:rsidR="0045474D">
        <w:rPr>
          <w:rFonts w:ascii="Times New Roman" w:hAnsi="Times New Roman" w:cs="Times New Roman"/>
          <w:sz w:val="20"/>
          <w:szCs w:val="20"/>
        </w:rPr>
        <w:t xml:space="preserve">reseller </w:t>
      </w:r>
      <w:r w:rsidRPr="001D69AA">
        <w:rPr>
          <w:rFonts w:ascii="Times New Roman" w:hAnsi="Times New Roman" w:cs="Times New Roman"/>
          <w:sz w:val="20"/>
          <w:szCs w:val="20"/>
        </w:rPr>
        <w:t>agreements and licensing arrangements. As such, the Company expanded its internal and external marketing efforts and entered into several referral arrangements and licensing agreements with third part</w:t>
      </w:r>
      <w:r w:rsidR="0045474D">
        <w:rPr>
          <w:rFonts w:ascii="Times New Roman" w:hAnsi="Times New Roman" w:cs="Times New Roman"/>
          <w:sz w:val="20"/>
          <w:szCs w:val="20"/>
        </w:rPr>
        <w:t>y financial services firms</w:t>
      </w:r>
      <w:r w:rsidRPr="001D69AA">
        <w:rPr>
          <w:rFonts w:ascii="Times New Roman" w:hAnsi="Times New Roman" w:cs="Times New Roman"/>
          <w:sz w:val="20"/>
          <w:szCs w:val="20"/>
        </w:rPr>
        <w:t xml:space="preserve"> to offer </w:t>
      </w:r>
      <w:r w:rsidRPr="001D69AA">
        <w:rPr>
          <w:rFonts w:ascii="Times New Roman" w:hAnsi="Times New Roman" w:cs="Times New Roman" w:hint="eastAsia"/>
          <w:sz w:val="20"/>
          <w:szCs w:val="20"/>
        </w:rPr>
        <w:t>the Company</w:t>
      </w:r>
      <w:r>
        <w:rPr>
          <w:rFonts w:ascii="Times New Roman" w:eastAsia="MS Mincho" w:hAnsi="Times New Roman" w:cs="Times New Roman"/>
          <w:sz w:val="20"/>
          <w:szCs w:val="20"/>
        </w:rPr>
        <w:t>’</w:t>
      </w:r>
      <w:r w:rsidRPr="001D69AA">
        <w:rPr>
          <w:rFonts w:ascii="Times New Roman" w:hAnsi="Times New Roman" w:cs="Times New Roman" w:hint="eastAsia"/>
          <w:sz w:val="20"/>
          <w:szCs w:val="20"/>
        </w:rPr>
        <w:t>s products</w:t>
      </w:r>
      <w:r w:rsidR="004026D6">
        <w:rPr>
          <w:rFonts w:ascii="Times New Roman" w:hAnsi="Times New Roman" w:cs="Times New Roman"/>
          <w:sz w:val="20"/>
          <w:szCs w:val="20"/>
        </w:rPr>
        <w:t>.</w:t>
      </w:r>
      <w:r w:rsidRPr="001D69AA">
        <w:rPr>
          <w:rFonts w:ascii="Times New Roman" w:hAnsi="Times New Roman" w:cs="Times New Roman" w:hint="eastAsia"/>
          <w:sz w:val="20"/>
          <w:szCs w:val="20"/>
        </w:rPr>
        <w:t xml:space="preserve"> Since 2019, the Com</w:t>
      </w:r>
      <w:r w:rsidRPr="001D69AA">
        <w:rPr>
          <w:rFonts w:ascii="Times New Roman" w:hAnsi="Times New Roman" w:cs="Times New Roman"/>
          <w:sz w:val="20"/>
          <w:szCs w:val="20"/>
        </w:rPr>
        <w:t xml:space="preserve">pany has been successful in entering into </w:t>
      </w:r>
      <w:r w:rsidR="004026D6">
        <w:rPr>
          <w:rFonts w:ascii="Times New Roman" w:hAnsi="Times New Roman" w:cs="Times New Roman"/>
          <w:sz w:val="20"/>
          <w:szCs w:val="20"/>
        </w:rPr>
        <w:t>several</w:t>
      </w:r>
      <w:r w:rsidR="002F29C0" w:rsidRPr="003D68E7">
        <w:rPr>
          <w:rFonts w:ascii="Times New Roman" w:hAnsi="Times New Roman" w:cs="Times New Roman"/>
          <w:sz w:val="20"/>
          <w:szCs w:val="20"/>
        </w:rPr>
        <w:t xml:space="preserve"> </w:t>
      </w:r>
      <w:r w:rsidRPr="003D68E7">
        <w:rPr>
          <w:rFonts w:ascii="Times New Roman" w:hAnsi="Times New Roman" w:cs="Times New Roman"/>
          <w:sz w:val="20"/>
          <w:szCs w:val="20"/>
        </w:rPr>
        <w:t>reseller, distributor</w:t>
      </w:r>
      <w:r w:rsidRPr="001D69AA">
        <w:rPr>
          <w:rFonts w:ascii="Times New Roman" w:hAnsi="Times New Roman" w:cs="Times New Roman"/>
          <w:sz w:val="20"/>
          <w:szCs w:val="20"/>
        </w:rPr>
        <w:t xml:space="preserve"> and licensing-type arrangements</w:t>
      </w:r>
      <w:r w:rsidR="000B4628">
        <w:rPr>
          <w:rFonts w:ascii="Times New Roman" w:hAnsi="Times New Roman" w:cs="Times New Roman"/>
          <w:sz w:val="20"/>
          <w:szCs w:val="20"/>
        </w:rPr>
        <w:t xml:space="preserve"> for its products and </w:t>
      </w:r>
      <w:proofErr w:type="spellStart"/>
      <w:r w:rsidR="000B4628">
        <w:rPr>
          <w:rFonts w:ascii="Times New Roman" w:hAnsi="Times New Roman" w:cs="Times New Roman"/>
          <w:sz w:val="20"/>
          <w:szCs w:val="20"/>
        </w:rPr>
        <w:t>MyMarble</w:t>
      </w:r>
      <w:proofErr w:type="spellEnd"/>
      <w:r w:rsidR="000B4628">
        <w:rPr>
          <w:rFonts w:ascii="Times New Roman" w:hAnsi="Times New Roman" w:cs="Times New Roman"/>
          <w:sz w:val="20"/>
          <w:szCs w:val="20"/>
        </w:rPr>
        <w:t xml:space="preserve"> Platform</w:t>
      </w:r>
      <w:r w:rsidRPr="001D69AA">
        <w:rPr>
          <w:rFonts w:ascii="Times New Roman" w:hAnsi="Times New Roman" w:cs="Times New Roman"/>
          <w:sz w:val="20"/>
          <w:szCs w:val="20"/>
        </w:rPr>
        <w:t xml:space="preserve">. </w:t>
      </w:r>
      <w:r w:rsidR="0045474D">
        <w:rPr>
          <w:rFonts w:ascii="Times New Roman" w:hAnsi="Times New Roman" w:cs="Times New Roman"/>
          <w:sz w:val="20"/>
          <w:szCs w:val="20"/>
        </w:rPr>
        <w:t>T</w:t>
      </w:r>
      <w:r w:rsidR="008A14AE">
        <w:rPr>
          <w:rFonts w:ascii="Times New Roman" w:hAnsi="Times New Roman" w:cs="Times New Roman"/>
          <w:sz w:val="20"/>
          <w:szCs w:val="20"/>
        </w:rPr>
        <w:t xml:space="preserve">he Company started generating more </w:t>
      </w:r>
      <w:r w:rsidR="000B4628">
        <w:rPr>
          <w:rFonts w:ascii="Times New Roman" w:hAnsi="Times New Roman" w:cs="Times New Roman"/>
          <w:sz w:val="20"/>
          <w:szCs w:val="20"/>
        </w:rPr>
        <w:t xml:space="preserve">Score-Up </w:t>
      </w:r>
      <w:r w:rsidR="008A14AE">
        <w:rPr>
          <w:rFonts w:ascii="Times New Roman" w:hAnsi="Times New Roman" w:cs="Times New Roman"/>
          <w:sz w:val="20"/>
          <w:szCs w:val="20"/>
        </w:rPr>
        <w:t>subscription fee revenue</w:t>
      </w:r>
      <w:r w:rsidR="000B4628">
        <w:rPr>
          <w:rFonts w:ascii="Times New Roman" w:hAnsi="Times New Roman" w:cs="Times New Roman"/>
          <w:sz w:val="20"/>
          <w:szCs w:val="20"/>
        </w:rPr>
        <w:t>s in 2020</w:t>
      </w:r>
      <w:r w:rsidR="008A14AE">
        <w:rPr>
          <w:rFonts w:ascii="Times New Roman" w:hAnsi="Times New Roman" w:cs="Times New Roman"/>
          <w:sz w:val="20"/>
          <w:szCs w:val="20"/>
        </w:rPr>
        <w:t xml:space="preserve"> </w:t>
      </w:r>
      <w:proofErr w:type="gramStart"/>
      <w:r w:rsidR="008A14AE">
        <w:rPr>
          <w:rFonts w:ascii="Times New Roman" w:hAnsi="Times New Roman" w:cs="Times New Roman"/>
          <w:sz w:val="20"/>
          <w:szCs w:val="20"/>
        </w:rPr>
        <w:t>as a result of</w:t>
      </w:r>
      <w:proofErr w:type="gramEnd"/>
      <w:r w:rsidR="008A14AE">
        <w:rPr>
          <w:rFonts w:ascii="Times New Roman" w:hAnsi="Times New Roman" w:cs="Times New Roman"/>
          <w:sz w:val="20"/>
          <w:szCs w:val="20"/>
        </w:rPr>
        <w:t xml:space="preserve"> </w:t>
      </w:r>
      <w:r w:rsidR="000B4628">
        <w:rPr>
          <w:rFonts w:ascii="Times New Roman" w:hAnsi="Times New Roman" w:cs="Times New Roman"/>
          <w:sz w:val="20"/>
          <w:szCs w:val="20"/>
        </w:rPr>
        <w:t xml:space="preserve">these </w:t>
      </w:r>
      <w:r w:rsidR="008A14AE">
        <w:rPr>
          <w:rFonts w:ascii="Times New Roman" w:hAnsi="Times New Roman" w:cs="Times New Roman"/>
          <w:sz w:val="20"/>
          <w:szCs w:val="20"/>
        </w:rPr>
        <w:t>reseller agreements</w:t>
      </w:r>
      <w:r w:rsidR="000B4628">
        <w:rPr>
          <w:rFonts w:ascii="Times New Roman" w:hAnsi="Times New Roman" w:cs="Times New Roman"/>
          <w:sz w:val="20"/>
          <w:szCs w:val="20"/>
        </w:rPr>
        <w:t xml:space="preserve"> and through its internal marketing and sales efforts</w:t>
      </w:r>
      <w:r w:rsidR="008A14AE">
        <w:rPr>
          <w:rFonts w:ascii="Times New Roman" w:hAnsi="Times New Roman" w:cs="Times New Roman"/>
          <w:sz w:val="20"/>
          <w:szCs w:val="20"/>
        </w:rPr>
        <w:t xml:space="preserve">. </w:t>
      </w:r>
      <w:r w:rsidRPr="001D69AA">
        <w:rPr>
          <w:rFonts w:ascii="Times New Roman" w:hAnsi="Times New Roman" w:cs="Times New Roman"/>
          <w:sz w:val="20"/>
          <w:szCs w:val="20"/>
        </w:rPr>
        <w:t xml:space="preserve"> Marble plans to continue to expand its reseller and licensing relationships </w:t>
      </w:r>
      <w:r w:rsidR="002F29C0">
        <w:rPr>
          <w:rFonts w:ascii="Times New Roman" w:hAnsi="Times New Roman" w:cs="Times New Roman"/>
          <w:sz w:val="20"/>
          <w:szCs w:val="20"/>
        </w:rPr>
        <w:t>throughout</w:t>
      </w:r>
      <w:r w:rsidR="002F29C0" w:rsidRPr="001D69AA">
        <w:rPr>
          <w:rFonts w:ascii="Times New Roman" w:hAnsi="Times New Roman" w:cs="Times New Roman"/>
          <w:sz w:val="20"/>
          <w:szCs w:val="20"/>
        </w:rPr>
        <w:t xml:space="preserve"> </w:t>
      </w:r>
      <w:r w:rsidRPr="001D69AA">
        <w:rPr>
          <w:rFonts w:ascii="Times New Roman" w:hAnsi="Times New Roman" w:cs="Times New Roman"/>
          <w:sz w:val="20"/>
          <w:szCs w:val="20"/>
        </w:rPr>
        <w:t xml:space="preserve">2021.  </w:t>
      </w:r>
    </w:p>
    <w:p w14:paraId="1DF5F904" w14:textId="77777777" w:rsidR="006D7D04" w:rsidRPr="001D69AA" w:rsidRDefault="006D7D04" w:rsidP="006D7D04">
      <w:pPr>
        <w:spacing w:after="0" w:line="230" w:lineRule="exact"/>
        <w:ind w:right="4"/>
        <w:jc w:val="both"/>
        <w:rPr>
          <w:rFonts w:ascii="Times New Roman" w:hAnsi="Times New Roman" w:cs="Times New Roman"/>
          <w:sz w:val="20"/>
          <w:szCs w:val="20"/>
        </w:rPr>
      </w:pPr>
    </w:p>
    <w:p w14:paraId="005ED770" w14:textId="28A075A2" w:rsidR="006D7D04" w:rsidRPr="001D69AA" w:rsidRDefault="006D7D04" w:rsidP="006D7D04">
      <w:pPr>
        <w:spacing w:after="0" w:line="228" w:lineRule="exact"/>
        <w:ind w:right="4"/>
        <w:jc w:val="both"/>
        <w:rPr>
          <w:rFonts w:ascii="Times New Roman" w:hAnsi="Times New Roman" w:cs="Times New Roman"/>
          <w:sz w:val="20"/>
          <w:szCs w:val="20"/>
        </w:rPr>
      </w:pPr>
      <w:r w:rsidRPr="001D69AA">
        <w:rPr>
          <w:rFonts w:ascii="Times New Roman" w:hAnsi="Times New Roman" w:cs="Times New Roman" w:hint="eastAsia"/>
          <w:sz w:val="20"/>
          <w:szCs w:val="20"/>
        </w:rPr>
        <w:t>Prior to 2019, Marble</w:t>
      </w:r>
      <w:r>
        <w:rPr>
          <w:rFonts w:ascii="Times New Roman" w:eastAsia="MS Mincho" w:hAnsi="Times New Roman" w:cs="Times New Roman"/>
          <w:sz w:val="20"/>
          <w:szCs w:val="20"/>
        </w:rPr>
        <w:t>’</w:t>
      </w:r>
      <w:r w:rsidRPr="001D69AA">
        <w:rPr>
          <w:rFonts w:ascii="Times New Roman" w:hAnsi="Times New Roman" w:cs="Times New Roman" w:hint="eastAsia"/>
          <w:sz w:val="20"/>
          <w:szCs w:val="20"/>
        </w:rPr>
        <w:t xml:space="preserve">s primary business involved </w:t>
      </w:r>
      <w:r w:rsidRPr="001D69AA">
        <w:rPr>
          <w:rFonts w:ascii="Times New Roman" w:hAnsi="Times New Roman" w:cs="Times New Roman"/>
          <w:sz w:val="20"/>
          <w:szCs w:val="20"/>
        </w:rPr>
        <w:t xml:space="preserve">its Fast-Track loans which leverage financial technology </w:t>
      </w:r>
      <w:r w:rsidRPr="001D69AA">
        <w:rPr>
          <w:rFonts w:ascii="Times New Roman" w:hAnsi="Times New Roman" w:cs="Times New Roman" w:hint="eastAsia"/>
          <w:sz w:val="20"/>
          <w:szCs w:val="20"/>
        </w:rPr>
        <w:t>(</w:t>
      </w:r>
      <w:r>
        <w:rPr>
          <w:rFonts w:ascii="Times New Roman" w:eastAsia="MS Mincho" w:hAnsi="Times New Roman" w:cs="Times New Roman"/>
          <w:sz w:val="20"/>
          <w:szCs w:val="20"/>
        </w:rPr>
        <w:t>“</w:t>
      </w:r>
      <w:r w:rsidRPr="001D69AA">
        <w:rPr>
          <w:rFonts w:ascii="Times New Roman" w:hAnsi="Times New Roman" w:cs="Times New Roman" w:hint="eastAsia"/>
          <w:sz w:val="20"/>
          <w:szCs w:val="20"/>
        </w:rPr>
        <w:t>fintech</w:t>
      </w:r>
      <w:r>
        <w:rPr>
          <w:rFonts w:ascii="Times New Roman" w:eastAsia="MS Mincho" w:hAnsi="Times New Roman" w:cs="Times New Roman"/>
          <w:sz w:val="20"/>
          <w:szCs w:val="20"/>
        </w:rPr>
        <w:t>”</w:t>
      </w:r>
      <w:r w:rsidRPr="001D69AA">
        <w:rPr>
          <w:rFonts w:ascii="Times New Roman" w:hAnsi="Times New Roman" w:cs="Times New Roman" w:hint="eastAsia"/>
          <w:sz w:val="20"/>
          <w:szCs w:val="20"/>
        </w:rPr>
        <w:t xml:space="preserve">) to bring </w:t>
      </w:r>
      <w:r w:rsidRPr="001D69AA">
        <w:rPr>
          <w:rFonts w:ascii="Times New Roman" w:hAnsi="Times New Roman" w:cs="Times New Roman"/>
          <w:sz w:val="20"/>
          <w:szCs w:val="20"/>
        </w:rPr>
        <w:t>its loan product to qualified residents of Canada</w:t>
      </w:r>
      <w:r w:rsidR="008A14AE">
        <w:rPr>
          <w:rFonts w:ascii="Times New Roman" w:hAnsi="Times New Roman" w:cs="Times New Roman"/>
          <w:sz w:val="20"/>
          <w:szCs w:val="20"/>
        </w:rPr>
        <w:t xml:space="preserve"> – </w:t>
      </w:r>
      <w:r w:rsidRPr="001D69AA">
        <w:rPr>
          <w:rFonts w:ascii="Times New Roman" w:hAnsi="Times New Roman" w:cs="Times New Roman"/>
          <w:sz w:val="20"/>
          <w:szCs w:val="20"/>
        </w:rPr>
        <w:t xml:space="preserve">specifically, focusing on customers who completed a Consumer Proposal to settle their debt obligations and who are seeking a pro-active method to rebuild their credit </w:t>
      </w:r>
      <w:proofErr w:type="gramStart"/>
      <w:r w:rsidRPr="001D69AA">
        <w:rPr>
          <w:rFonts w:ascii="Times New Roman" w:hAnsi="Times New Roman" w:cs="Times New Roman"/>
          <w:sz w:val="20"/>
          <w:szCs w:val="20"/>
        </w:rPr>
        <w:t>in order to</w:t>
      </w:r>
      <w:proofErr w:type="gramEnd"/>
      <w:r w:rsidRPr="001D69AA">
        <w:rPr>
          <w:rFonts w:ascii="Times New Roman" w:hAnsi="Times New Roman" w:cs="Times New Roman"/>
          <w:sz w:val="20"/>
          <w:szCs w:val="20"/>
        </w:rPr>
        <w:t xml:space="preserve"> access traditional sources of financing such as banks, credit unions and trusts companies. </w:t>
      </w:r>
      <w:r w:rsidR="000B4628">
        <w:rPr>
          <w:rFonts w:ascii="Times New Roman" w:hAnsi="Times New Roman" w:cs="Times New Roman"/>
          <w:sz w:val="20"/>
          <w:szCs w:val="20"/>
        </w:rPr>
        <w:t>However, i</w:t>
      </w:r>
      <w:r w:rsidRPr="001D69AA">
        <w:rPr>
          <w:rFonts w:ascii="Times New Roman" w:hAnsi="Times New Roman" w:cs="Times New Roman"/>
          <w:sz w:val="20"/>
          <w:szCs w:val="20"/>
        </w:rPr>
        <w:t xml:space="preserve">n 2020, the </w:t>
      </w:r>
      <w:r w:rsidRPr="001D69AA">
        <w:rPr>
          <w:rFonts w:ascii="Times New Roman" w:hAnsi="Times New Roman" w:cs="Times New Roman" w:hint="eastAsia"/>
          <w:sz w:val="20"/>
          <w:szCs w:val="20"/>
        </w:rPr>
        <w:t>Company</w:t>
      </w:r>
      <w:r>
        <w:rPr>
          <w:rFonts w:ascii="Times New Roman" w:eastAsia="MS Mincho" w:hAnsi="Times New Roman" w:cs="Times New Roman"/>
          <w:sz w:val="20"/>
          <w:szCs w:val="20"/>
        </w:rPr>
        <w:t>’</w:t>
      </w:r>
      <w:r w:rsidRPr="001D69AA">
        <w:rPr>
          <w:rFonts w:ascii="Times New Roman" w:hAnsi="Times New Roman" w:cs="Times New Roman" w:hint="eastAsia"/>
          <w:sz w:val="20"/>
          <w:szCs w:val="20"/>
        </w:rPr>
        <w:t xml:space="preserve">s </w:t>
      </w:r>
      <w:r w:rsidRPr="001D69AA">
        <w:rPr>
          <w:rFonts w:ascii="Times New Roman" w:hAnsi="Times New Roman" w:cs="Times New Roman"/>
          <w:sz w:val="20"/>
          <w:szCs w:val="20"/>
        </w:rPr>
        <w:t xml:space="preserve">loan portfolio reached its maximum offering size, based on available funding and unallocated free cash, and the Company </w:t>
      </w:r>
      <w:r w:rsidR="00D04F11">
        <w:rPr>
          <w:rFonts w:ascii="Times New Roman" w:hAnsi="Times New Roman" w:cs="Times New Roman"/>
          <w:sz w:val="20"/>
          <w:szCs w:val="20"/>
        </w:rPr>
        <w:t>stopped advancing</w:t>
      </w:r>
      <w:r w:rsidRPr="001D69AA">
        <w:rPr>
          <w:rFonts w:ascii="Times New Roman" w:hAnsi="Times New Roman" w:cs="Times New Roman"/>
          <w:sz w:val="20"/>
          <w:szCs w:val="20"/>
        </w:rPr>
        <w:t xml:space="preserve"> further </w:t>
      </w:r>
      <w:r w:rsidR="000B4628">
        <w:rPr>
          <w:rFonts w:ascii="Times New Roman" w:hAnsi="Times New Roman" w:cs="Times New Roman"/>
          <w:sz w:val="20"/>
          <w:szCs w:val="20"/>
        </w:rPr>
        <w:t xml:space="preserve">Fast-Track </w:t>
      </w:r>
      <w:r w:rsidRPr="001D69AA">
        <w:rPr>
          <w:rFonts w:ascii="Times New Roman" w:hAnsi="Times New Roman" w:cs="Times New Roman"/>
          <w:sz w:val="20"/>
          <w:szCs w:val="20"/>
        </w:rPr>
        <w:t xml:space="preserve">loans until an additional debt facility </w:t>
      </w:r>
      <w:r w:rsidRPr="001D69AA">
        <w:rPr>
          <w:rFonts w:ascii="Times New Roman" w:hAnsi="Times New Roman" w:cs="Times New Roman"/>
          <w:sz w:val="20"/>
          <w:szCs w:val="20"/>
        </w:rPr>
        <w:lastRenderedPageBreak/>
        <w:t xml:space="preserve">is obtained. </w:t>
      </w:r>
      <w:r w:rsidR="004026D6">
        <w:rPr>
          <w:rFonts w:ascii="Times New Roman" w:hAnsi="Times New Roman" w:cs="Times New Roman"/>
          <w:sz w:val="20"/>
          <w:szCs w:val="20"/>
        </w:rPr>
        <w:t>On July 26, 2021, Marble announced it had entered into</w:t>
      </w:r>
      <w:r w:rsidR="00D04F11" w:rsidRPr="00D04F11">
        <w:rPr>
          <w:rFonts w:ascii="Times New Roman" w:hAnsi="Times New Roman" w:cs="Times New Roman"/>
          <w:sz w:val="20"/>
          <w:szCs w:val="20"/>
        </w:rPr>
        <w:t xml:space="preserve"> a $10 million credit facility agreement with Cypress Hills Partners Inc.</w:t>
      </w:r>
      <w:r w:rsidR="00D04F11">
        <w:rPr>
          <w:rFonts w:ascii="Times New Roman" w:hAnsi="Times New Roman" w:cs="Times New Roman"/>
          <w:sz w:val="20"/>
          <w:szCs w:val="20"/>
        </w:rPr>
        <w:t xml:space="preserve"> </w:t>
      </w:r>
      <w:r w:rsidR="004026D6">
        <w:rPr>
          <w:rFonts w:ascii="Times New Roman" w:hAnsi="Times New Roman" w:cs="Times New Roman"/>
          <w:sz w:val="20"/>
          <w:szCs w:val="20"/>
        </w:rPr>
        <w:t>which will</w:t>
      </w:r>
      <w:r w:rsidR="00D04F11" w:rsidRPr="00D04F11">
        <w:rPr>
          <w:rFonts w:ascii="Times New Roman" w:hAnsi="Times New Roman" w:cs="Times New Roman"/>
          <w:sz w:val="20"/>
          <w:szCs w:val="20"/>
        </w:rPr>
        <w:t xml:space="preserve"> </w:t>
      </w:r>
      <w:r w:rsidR="00D04F11">
        <w:rPr>
          <w:rFonts w:ascii="Times New Roman" w:hAnsi="Times New Roman" w:cs="Times New Roman"/>
          <w:sz w:val="20"/>
          <w:szCs w:val="20"/>
        </w:rPr>
        <w:t>allow Marble to re-</w:t>
      </w:r>
      <w:r w:rsidR="004026D6">
        <w:rPr>
          <w:rFonts w:ascii="Times New Roman" w:hAnsi="Times New Roman" w:cs="Times New Roman"/>
          <w:sz w:val="20"/>
          <w:szCs w:val="20"/>
        </w:rPr>
        <w:t>start</w:t>
      </w:r>
      <w:r w:rsidR="004026D6" w:rsidRPr="00D04F11">
        <w:rPr>
          <w:rFonts w:ascii="Times New Roman" w:hAnsi="Times New Roman" w:cs="Times New Roman"/>
          <w:sz w:val="20"/>
          <w:szCs w:val="20"/>
        </w:rPr>
        <w:t xml:space="preserve"> </w:t>
      </w:r>
      <w:r w:rsidR="00D04F11" w:rsidRPr="00D04F11">
        <w:rPr>
          <w:rFonts w:ascii="Times New Roman" w:hAnsi="Times New Roman" w:cs="Times New Roman"/>
          <w:sz w:val="20"/>
          <w:szCs w:val="20"/>
        </w:rPr>
        <w:t>its Fast-Track Loan program.</w:t>
      </w:r>
      <w:r w:rsidRPr="001D69AA">
        <w:rPr>
          <w:rFonts w:ascii="Times New Roman" w:hAnsi="Times New Roman" w:cs="Times New Roman"/>
          <w:sz w:val="20"/>
          <w:szCs w:val="20"/>
        </w:rPr>
        <w:t xml:space="preserve">   </w:t>
      </w:r>
    </w:p>
    <w:p w14:paraId="517B9404" w14:textId="77777777" w:rsidR="006D7D04" w:rsidRPr="001D69AA" w:rsidRDefault="006D7D04" w:rsidP="006D7D04">
      <w:pPr>
        <w:spacing w:after="0" w:line="230" w:lineRule="exact"/>
        <w:ind w:right="4"/>
        <w:jc w:val="both"/>
        <w:rPr>
          <w:rFonts w:ascii="Times New Roman" w:hAnsi="Times New Roman" w:cs="Times New Roman"/>
          <w:sz w:val="20"/>
          <w:szCs w:val="20"/>
        </w:rPr>
      </w:pPr>
    </w:p>
    <w:p w14:paraId="0CEA3D5E" w14:textId="77777777" w:rsidR="006D7D04" w:rsidRPr="00660E95" w:rsidRDefault="006D7D04" w:rsidP="006D7D04">
      <w:pPr>
        <w:spacing w:after="0" w:line="228" w:lineRule="exact"/>
        <w:ind w:right="4"/>
        <w:jc w:val="both"/>
        <w:rPr>
          <w:rFonts w:ascii="Times New Roman" w:hAnsi="Times New Roman" w:cs="Times New Roman"/>
          <w:sz w:val="20"/>
          <w:szCs w:val="20"/>
        </w:rPr>
      </w:pPr>
      <w:r w:rsidRPr="001D69AA">
        <w:rPr>
          <w:rFonts w:ascii="Times New Roman" w:hAnsi="Times New Roman" w:cs="Times New Roman"/>
          <w:sz w:val="20"/>
          <w:szCs w:val="20"/>
        </w:rPr>
        <w:t xml:space="preserve">On March 11, 2020, the COVID-19 outbreak was declared a pandemic by the World Health Organization. The situation is dynamic and the ultimate duration and magnitude of the impact on the economy and </w:t>
      </w:r>
      <w:r w:rsidRPr="001D69AA">
        <w:rPr>
          <w:rFonts w:ascii="Times New Roman" w:hAnsi="Times New Roman" w:cs="Times New Roman" w:hint="eastAsia"/>
          <w:sz w:val="20"/>
          <w:szCs w:val="20"/>
        </w:rPr>
        <w:t>the Company</w:t>
      </w:r>
      <w:r>
        <w:rPr>
          <w:rFonts w:ascii="Times New Roman" w:hAnsi="Times New Roman" w:cs="Times New Roman"/>
          <w:sz w:val="20"/>
          <w:szCs w:val="20"/>
        </w:rPr>
        <w:t>’s</w:t>
      </w:r>
      <w:r w:rsidRPr="001D69AA">
        <w:rPr>
          <w:rFonts w:ascii="Times New Roman" w:hAnsi="Times New Roman" w:cs="Times New Roman"/>
          <w:sz w:val="20"/>
          <w:szCs w:val="20"/>
        </w:rPr>
        <w:t xml:space="preserve"> business are not known at this time. Marble operates a fully digital platform; its services and products are all accessed online, with no physical branches or consumer-facing offices. While the degree of severity and length of an economic downturn is difficult to predict, Marble believes that it is well positioned to navigate through this period.  However, the overall economic impacts of COVID-19 could include an impact on our ability to obtain debt and equity financing, impairment of investments, loan loss provisions, impairments in the value of our intangible assets and long-lived assets, or potential future decreases in revenue or the profitability of our ongoing operations.  The Company is working closely with its third-party resellers and customers to support them through this changing environment. On March 26, 2020, the Company offered a temporary deferred payment relief program for customers meeting certain criteria that were put into further financial difficulty </w:t>
      </w:r>
      <w:proofErr w:type="gramStart"/>
      <w:r w:rsidRPr="001D69AA">
        <w:rPr>
          <w:rFonts w:ascii="Times New Roman" w:hAnsi="Times New Roman" w:cs="Times New Roman"/>
          <w:sz w:val="20"/>
          <w:szCs w:val="20"/>
        </w:rPr>
        <w:t>as a result of</w:t>
      </w:r>
      <w:proofErr w:type="gramEnd"/>
      <w:r w:rsidRPr="001D69AA">
        <w:rPr>
          <w:rFonts w:ascii="Times New Roman" w:hAnsi="Times New Roman" w:cs="Times New Roman"/>
          <w:sz w:val="20"/>
          <w:szCs w:val="20"/>
        </w:rPr>
        <w:t xml:space="preserve"> COVID-19. In addition, existing customers that purchased creditor insurance as part of their Fast-Track loan could apply for the benefits associated with this program, if required. Further, a new adjudication protocol for loan</w:t>
      </w:r>
      <w:r w:rsidRPr="00660E95">
        <w:rPr>
          <w:rFonts w:ascii="Times New Roman" w:hAnsi="Times New Roman" w:cs="Times New Roman"/>
          <w:sz w:val="20"/>
          <w:szCs w:val="20"/>
        </w:rPr>
        <w:t xml:space="preserve"> approvals for our Fast-Track product was put in place due to market dynamics and economic uncertainties </w:t>
      </w:r>
      <w:proofErr w:type="gramStart"/>
      <w:r w:rsidRPr="00660E95">
        <w:rPr>
          <w:rFonts w:ascii="Times New Roman" w:hAnsi="Times New Roman" w:cs="Times New Roman"/>
          <w:sz w:val="20"/>
          <w:szCs w:val="20"/>
        </w:rPr>
        <w:t>as a result of</w:t>
      </w:r>
      <w:proofErr w:type="gramEnd"/>
      <w:r w:rsidRPr="00660E95">
        <w:rPr>
          <w:rFonts w:ascii="Times New Roman" w:hAnsi="Times New Roman" w:cs="Times New Roman"/>
          <w:sz w:val="20"/>
          <w:szCs w:val="20"/>
        </w:rPr>
        <w:t xml:space="preserve"> COVID-19.  </w:t>
      </w:r>
      <w:bookmarkStart w:id="4" w:name="_Hlk35528752"/>
    </w:p>
    <w:bookmarkEnd w:id="4"/>
    <w:p w14:paraId="1140EDD5" w14:textId="77777777" w:rsidR="006D7D04" w:rsidRPr="00E85ED2" w:rsidRDefault="006D7D04" w:rsidP="006D7D04">
      <w:pPr>
        <w:spacing w:after="0" w:line="240" w:lineRule="auto"/>
        <w:jc w:val="both"/>
        <w:rPr>
          <w:rFonts w:ascii="Times New Roman" w:hAnsi="Times New Roman" w:cs="Times New Roman"/>
          <w:sz w:val="20"/>
          <w:szCs w:val="20"/>
          <w:highlight w:val="yellow"/>
        </w:rPr>
      </w:pPr>
    </w:p>
    <w:p w14:paraId="02F0BE14" w14:textId="1BD0BED0" w:rsidR="006D7D04" w:rsidRDefault="006D7D04" w:rsidP="006D7D04">
      <w:pPr>
        <w:spacing w:after="0" w:line="240" w:lineRule="auto"/>
        <w:jc w:val="both"/>
        <w:rPr>
          <w:rFonts w:ascii="Times New Roman" w:hAnsi="Times New Roman" w:cs="Times New Roman"/>
          <w:sz w:val="20"/>
          <w:szCs w:val="20"/>
          <w:lang w:val="en-CA"/>
        </w:rPr>
      </w:pPr>
      <w:r w:rsidRPr="001856B2">
        <w:rPr>
          <w:rFonts w:ascii="Times New Roman" w:hAnsi="Times New Roman" w:cs="Times New Roman"/>
          <w:sz w:val="20"/>
          <w:szCs w:val="20"/>
        </w:rPr>
        <w:t xml:space="preserve">As </w:t>
      </w:r>
      <w:proofErr w:type="gramStart"/>
      <w:r w:rsidRPr="001856B2">
        <w:rPr>
          <w:rFonts w:ascii="Times New Roman" w:hAnsi="Times New Roman" w:cs="Times New Roman"/>
          <w:sz w:val="20"/>
          <w:szCs w:val="20"/>
        </w:rPr>
        <w:t>at</w:t>
      </w:r>
      <w:proofErr w:type="gramEnd"/>
      <w:r w:rsidRPr="001856B2">
        <w:rPr>
          <w:rFonts w:ascii="Times New Roman" w:hAnsi="Times New Roman" w:cs="Times New Roman"/>
          <w:sz w:val="20"/>
          <w:szCs w:val="20"/>
        </w:rPr>
        <w:t xml:space="preserve"> </w:t>
      </w:r>
      <w:r w:rsidR="006A4DDD">
        <w:rPr>
          <w:rFonts w:ascii="Times New Roman" w:hAnsi="Times New Roman" w:cs="Times New Roman"/>
          <w:sz w:val="20"/>
          <w:szCs w:val="20"/>
        </w:rPr>
        <w:t>June 30</w:t>
      </w:r>
      <w:r w:rsidRPr="001856B2">
        <w:rPr>
          <w:rFonts w:ascii="Times New Roman" w:hAnsi="Times New Roman" w:cs="Times New Roman"/>
          <w:sz w:val="20"/>
          <w:szCs w:val="20"/>
        </w:rPr>
        <w:t>, 2021</w:t>
      </w:r>
      <w:r w:rsidRPr="002C51FD">
        <w:rPr>
          <w:rFonts w:ascii="Times New Roman" w:hAnsi="Times New Roman" w:cs="Times New Roman"/>
          <w:sz w:val="20"/>
          <w:szCs w:val="20"/>
        </w:rPr>
        <w:t>, the Company held $</w:t>
      </w:r>
      <w:r w:rsidR="002C51FD" w:rsidRPr="002C51FD">
        <w:rPr>
          <w:rFonts w:ascii="Times New Roman" w:hAnsi="Times New Roman" w:cs="Times New Roman"/>
          <w:sz w:val="20"/>
          <w:szCs w:val="20"/>
        </w:rPr>
        <w:t>1,779,240</w:t>
      </w:r>
      <w:r w:rsidRPr="002C51FD">
        <w:rPr>
          <w:rFonts w:ascii="Times New Roman" w:hAnsi="Times New Roman" w:cs="Times New Roman"/>
          <w:sz w:val="20"/>
          <w:szCs w:val="20"/>
        </w:rPr>
        <w:t xml:space="preserve"> in loans receivable, net of allowance for loan impairment of $</w:t>
      </w:r>
      <w:r w:rsidR="002C51FD" w:rsidRPr="002C51FD">
        <w:rPr>
          <w:rFonts w:ascii="Times New Roman" w:hAnsi="Times New Roman" w:cs="Times New Roman"/>
          <w:sz w:val="20"/>
          <w:szCs w:val="20"/>
        </w:rPr>
        <w:t>99,252</w:t>
      </w:r>
      <w:r w:rsidRPr="002C51FD">
        <w:rPr>
          <w:rFonts w:ascii="Times New Roman" w:hAnsi="Times New Roman" w:cs="Times New Roman"/>
          <w:sz w:val="20"/>
          <w:szCs w:val="20"/>
        </w:rPr>
        <w:t xml:space="preserve"> (</w:t>
      </w:r>
      <w:r w:rsidR="008936B8" w:rsidRPr="002C51FD">
        <w:rPr>
          <w:rFonts w:ascii="Times New Roman" w:hAnsi="Times New Roman" w:cs="Times New Roman"/>
          <w:sz w:val="20"/>
          <w:szCs w:val="20"/>
        </w:rPr>
        <w:t xml:space="preserve">December 31, </w:t>
      </w:r>
      <w:r w:rsidRPr="002C51FD">
        <w:rPr>
          <w:rFonts w:ascii="Times New Roman" w:hAnsi="Times New Roman" w:cs="Times New Roman"/>
          <w:sz w:val="20"/>
          <w:szCs w:val="20"/>
        </w:rPr>
        <w:t>2020 – $2,257,878</w:t>
      </w:r>
      <w:r>
        <w:rPr>
          <w:rFonts w:ascii="Times New Roman" w:hAnsi="Times New Roman" w:cs="Times New Roman"/>
          <w:sz w:val="20"/>
          <w:szCs w:val="20"/>
        </w:rPr>
        <w:t xml:space="preserve"> </w:t>
      </w:r>
      <w:r w:rsidRPr="00660E95">
        <w:rPr>
          <w:rFonts w:ascii="Times New Roman" w:hAnsi="Times New Roman" w:cs="Times New Roman"/>
          <w:sz w:val="20"/>
          <w:szCs w:val="20"/>
        </w:rPr>
        <w:t xml:space="preserve">net of allowance for loan impairment of $220,000). The allowance for loan impairment of </w:t>
      </w:r>
      <w:r w:rsidRPr="002C51FD">
        <w:rPr>
          <w:rFonts w:ascii="Times New Roman" w:hAnsi="Times New Roman" w:cs="Times New Roman"/>
          <w:sz w:val="20"/>
          <w:szCs w:val="20"/>
        </w:rPr>
        <w:t>$</w:t>
      </w:r>
      <w:r w:rsidR="002C51FD" w:rsidRPr="002C51FD">
        <w:rPr>
          <w:rFonts w:ascii="Times New Roman" w:hAnsi="Times New Roman" w:cs="Times New Roman"/>
          <w:sz w:val="20"/>
          <w:szCs w:val="20"/>
        </w:rPr>
        <w:t>99,252</w:t>
      </w:r>
      <w:r w:rsidR="002A42C6" w:rsidRPr="002C51FD">
        <w:rPr>
          <w:rFonts w:ascii="Times New Roman" w:hAnsi="Times New Roman" w:cs="Times New Roman"/>
          <w:sz w:val="20"/>
          <w:szCs w:val="20"/>
        </w:rPr>
        <w:t xml:space="preserve"> </w:t>
      </w:r>
      <w:r w:rsidRPr="002C51FD">
        <w:rPr>
          <w:rFonts w:ascii="Times New Roman" w:hAnsi="Times New Roman" w:cs="Times New Roman"/>
          <w:sz w:val="20"/>
          <w:szCs w:val="20"/>
        </w:rPr>
        <w:t xml:space="preserve">represents </w:t>
      </w:r>
      <w:r w:rsidR="002C51FD" w:rsidRPr="002C51FD">
        <w:rPr>
          <w:rFonts w:ascii="Times New Roman" w:hAnsi="Times New Roman" w:cs="Times New Roman"/>
          <w:sz w:val="20"/>
          <w:szCs w:val="20"/>
        </w:rPr>
        <w:t>5.58</w:t>
      </w:r>
      <w:r w:rsidRPr="002C51FD">
        <w:rPr>
          <w:rFonts w:ascii="Times New Roman" w:hAnsi="Times New Roman" w:cs="Times New Roman"/>
          <w:sz w:val="20"/>
          <w:szCs w:val="20"/>
        </w:rPr>
        <w:t>%</w:t>
      </w:r>
      <w:r w:rsidRPr="001856B2">
        <w:rPr>
          <w:rFonts w:ascii="Times New Roman" w:hAnsi="Times New Roman" w:cs="Times New Roman"/>
          <w:sz w:val="20"/>
          <w:szCs w:val="20"/>
        </w:rPr>
        <w:t xml:space="preserve"> of the Company’s outstanding loan balance, inclusive of interest receivable, </w:t>
      </w:r>
      <w:proofErr w:type="gramStart"/>
      <w:r w:rsidRPr="001856B2">
        <w:rPr>
          <w:rFonts w:ascii="Times New Roman" w:hAnsi="Times New Roman" w:cs="Times New Roman"/>
          <w:sz w:val="20"/>
          <w:szCs w:val="20"/>
        </w:rPr>
        <w:t>at</w:t>
      </w:r>
      <w:proofErr w:type="gramEnd"/>
      <w:r w:rsidRPr="001856B2">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sidRPr="001856B2">
        <w:rPr>
          <w:rFonts w:ascii="Times New Roman" w:hAnsi="Times New Roman" w:cs="Times New Roman"/>
          <w:sz w:val="20"/>
          <w:szCs w:val="20"/>
        </w:rPr>
        <w:t>, 2021</w:t>
      </w:r>
      <w:r w:rsidRPr="001856B2">
        <w:rPr>
          <w:rFonts w:ascii="Times New Roman" w:hAnsi="Times New Roman" w:cs="Times New Roman"/>
          <w:sz w:val="20"/>
          <w:szCs w:val="20"/>
        </w:rPr>
        <w:t xml:space="preserve"> (</w:t>
      </w:r>
      <w:r w:rsidR="008936B8">
        <w:rPr>
          <w:rFonts w:ascii="Times New Roman" w:hAnsi="Times New Roman" w:cs="Times New Roman"/>
          <w:sz w:val="20"/>
          <w:szCs w:val="20"/>
        </w:rPr>
        <w:t xml:space="preserve">December 31, </w:t>
      </w:r>
      <w:r w:rsidRPr="001856B2">
        <w:rPr>
          <w:rFonts w:ascii="Times New Roman" w:hAnsi="Times New Roman" w:cs="Times New Roman"/>
          <w:sz w:val="20"/>
          <w:szCs w:val="20"/>
        </w:rPr>
        <w:t xml:space="preserve">2020 – </w:t>
      </w:r>
      <w:r w:rsidR="008936B8">
        <w:rPr>
          <w:rFonts w:ascii="Times New Roman" w:hAnsi="Times New Roman" w:cs="Times New Roman"/>
          <w:sz w:val="20"/>
          <w:szCs w:val="20"/>
        </w:rPr>
        <w:t>6.63</w:t>
      </w:r>
      <w:r w:rsidRPr="001856B2">
        <w:rPr>
          <w:rFonts w:ascii="Times New Roman" w:hAnsi="Times New Roman" w:cs="Times New Roman"/>
          <w:sz w:val="20"/>
          <w:szCs w:val="20"/>
        </w:rPr>
        <w:t xml:space="preserve">%). </w:t>
      </w:r>
      <w:bookmarkStart w:id="5" w:name="_Hlk70064726"/>
      <w:r w:rsidRPr="0029508B">
        <w:rPr>
          <w:rFonts w:ascii="Times New Roman" w:hAnsi="Times New Roman" w:cs="Times New Roman"/>
          <w:sz w:val="20"/>
          <w:szCs w:val="20"/>
          <w:lang w:val="en-CA"/>
        </w:rPr>
        <w:t xml:space="preserve">A loan receivable is considered past due when a consumer debtor has not made a payment by the contractual due date and written off when the consumer debtor has declared bankruptcy or applied for a consumer protection, or the Company has sent the loan receivable to an external collection agency for collections.  </w:t>
      </w:r>
      <w:r>
        <w:rPr>
          <w:rFonts w:ascii="Times New Roman" w:hAnsi="Times New Roman" w:cs="Times New Roman"/>
          <w:sz w:val="20"/>
          <w:szCs w:val="20"/>
          <w:lang w:val="en-CA"/>
        </w:rPr>
        <w:t xml:space="preserve">During the </w:t>
      </w:r>
      <w:r w:rsidR="006A4DDD">
        <w:rPr>
          <w:rFonts w:ascii="Times New Roman" w:hAnsi="Times New Roman" w:cs="Times New Roman"/>
          <w:sz w:val="20"/>
          <w:szCs w:val="20"/>
          <w:lang w:val="en-CA"/>
        </w:rPr>
        <w:t>six months</w:t>
      </w:r>
      <w:r>
        <w:rPr>
          <w:rFonts w:ascii="Times New Roman" w:hAnsi="Times New Roman" w:cs="Times New Roman"/>
          <w:sz w:val="20"/>
          <w:szCs w:val="20"/>
          <w:lang w:val="en-CA"/>
        </w:rPr>
        <w:t xml:space="preserve"> ended </w:t>
      </w:r>
      <w:r w:rsidR="006A4DDD">
        <w:rPr>
          <w:rFonts w:ascii="Times New Roman" w:hAnsi="Times New Roman" w:cs="Times New Roman"/>
          <w:sz w:val="20"/>
          <w:szCs w:val="20"/>
          <w:lang w:val="en-CA"/>
        </w:rPr>
        <w:t>June 30</w:t>
      </w:r>
      <w:r>
        <w:rPr>
          <w:rFonts w:ascii="Times New Roman" w:hAnsi="Times New Roman" w:cs="Times New Roman"/>
          <w:sz w:val="20"/>
          <w:szCs w:val="20"/>
          <w:lang w:val="en-CA"/>
        </w:rPr>
        <w:t>, 2021,</w:t>
      </w:r>
      <w:r w:rsidRPr="0029508B">
        <w:rPr>
          <w:rFonts w:ascii="Times New Roman" w:hAnsi="Times New Roman" w:cs="Times New Roman"/>
          <w:sz w:val="20"/>
          <w:szCs w:val="20"/>
          <w:lang w:val="en-CA"/>
        </w:rPr>
        <w:t xml:space="preserve"> the Company </w:t>
      </w:r>
      <w:r w:rsidR="002C51FD">
        <w:rPr>
          <w:rFonts w:ascii="Times New Roman" w:hAnsi="Times New Roman" w:cs="Times New Roman"/>
          <w:sz w:val="20"/>
          <w:szCs w:val="20"/>
          <w:lang w:val="en-CA"/>
        </w:rPr>
        <w:t>recovered</w:t>
      </w:r>
      <w:r w:rsidRPr="001856B2">
        <w:rPr>
          <w:rFonts w:ascii="Times New Roman" w:hAnsi="Times New Roman" w:cs="Times New Roman"/>
          <w:sz w:val="20"/>
          <w:szCs w:val="20"/>
          <w:lang w:val="en-CA"/>
        </w:rPr>
        <w:t xml:space="preserve"> </w:t>
      </w:r>
      <w:r w:rsidRPr="002C51FD">
        <w:rPr>
          <w:rFonts w:ascii="Times New Roman" w:hAnsi="Times New Roman" w:cs="Times New Roman"/>
          <w:sz w:val="20"/>
          <w:szCs w:val="20"/>
          <w:lang w:val="en-CA"/>
        </w:rPr>
        <w:t>$</w:t>
      </w:r>
      <w:r w:rsidR="002C51FD" w:rsidRPr="002C51FD">
        <w:rPr>
          <w:rFonts w:ascii="Times New Roman" w:hAnsi="Times New Roman" w:cs="Times New Roman"/>
          <w:sz w:val="20"/>
          <w:szCs w:val="20"/>
          <w:lang w:val="en-CA"/>
        </w:rPr>
        <w:t>6,</w:t>
      </w:r>
      <w:r w:rsidR="002C51FD">
        <w:rPr>
          <w:rFonts w:ascii="Times New Roman" w:hAnsi="Times New Roman" w:cs="Times New Roman"/>
          <w:sz w:val="20"/>
          <w:szCs w:val="20"/>
          <w:lang w:val="en-CA"/>
        </w:rPr>
        <w:t>147</w:t>
      </w:r>
      <w:r w:rsidRPr="00660E95">
        <w:rPr>
          <w:rFonts w:ascii="Times New Roman" w:hAnsi="Times New Roman" w:cs="Times New Roman"/>
          <w:sz w:val="20"/>
          <w:szCs w:val="20"/>
          <w:lang w:val="en-CA"/>
        </w:rPr>
        <w:t xml:space="preserve"> in loans receivable</w:t>
      </w:r>
      <w:r w:rsidR="008A14AE">
        <w:rPr>
          <w:rFonts w:ascii="Times New Roman" w:hAnsi="Times New Roman" w:cs="Times New Roman"/>
          <w:sz w:val="20"/>
          <w:szCs w:val="20"/>
          <w:lang w:val="en-CA"/>
        </w:rPr>
        <w:t xml:space="preserve"> (2020 – $nil)</w:t>
      </w:r>
      <w:r w:rsidRPr="0029508B">
        <w:rPr>
          <w:rFonts w:ascii="Times New Roman" w:hAnsi="Times New Roman" w:cs="Times New Roman"/>
          <w:sz w:val="20"/>
          <w:szCs w:val="20"/>
          <w:lang w:val="en-CA"/>
        </w:rPr>
        <w:t xml:space="preserve">.  </w:t>
      </w:r>
      <w:r w:rsidRPr="0029508B" w:rsidDel="00AB6078">
        <w:rPr>
          <w:rFonts w:ascii="Times New Roman" w:hAnsi="Times New Roman" w:cs="Times New Roman"/>
          <w:sz w:val="20"/>
          <w:szCs w:val="20"/>
          <w:lang w:val="en-CA"/>
        </w:rPr>
        <w:t xml:space="preserve"> </w:t>
      </w:r>
      <w:r w:rsidRPr="0029508B">
        <w:rPr>
          <w:rFonts w:ascii="Times New Roman" w:hAnsi="Times New Roman" w:cs="Times New Roman"/>
          <w:sz w:val="20"/>
          <w:szCs w:val="20"/>
          <w:lang w:val="en-CA"/>
        </w:rPr>
        <w:t xml:space="preserve"> </w:t>
      </w:r>
    </w:p>
    <w:p w14:paraId="3234FD17" w14:textId="77777777" w:rsidR="00BF1655" w:rsidRDefault="00BF1655" w:rsidP="006D7D04">
      <w:pPr>
        <w:spacing w:after="0" w:line="240" w:lineRule="auto"/>
        <w:jc w:val="both"/>
        <w:rPr>
          <w:rFonts w:ascii="Times New Roman" w:hAnsi="Times New Roman" w:cs="Times New Roman"/>
          <w:sz w:val="20"/>
          <w:szCs w:val="20"/>
          <w:lang w:val="en-CA"/>
        </w:rPr>
      </w:pPr>
    </w:p>
    <w:p w14:paraId="14221BEF" w14:textId="66C1F85F" w:rsidR="00615357" w:rsidRPr="00143932" w:rsidRDefault="00BF1655" w:rsidP="006D7D04">
      <w:pPr>
        <w:spacing w:after="0" w:line="240" w:lineRule="auto"/>
        <w:jc w:val="both"/>
        <w:rPr>
          <w:rFonts w:ascii="Times New Roman" w:hAnsi="Times New Roman" w:cs="Times New Roman"/>
          <w:b/>
          <w:bCs/>
          <w:sz w:val="20"/>
          <w:szCs w:val="20"/>
          <w:lang w:val="en-CA"/>
        </w:rPr>
      </w:pPr>
      <w:r w:rsidRPr="00143932">
        <w:rPr>
          <w:rFonts w:ascii="Times New Roman" w:hAnsi="Times New Roman" w:cs="Times New Roman"/>
          <w:b/>
          <w:bCs/>
          <w:sz w:val="20"/>
          <w:szCs w:val="20"/>
          <w:lang w:val="en-CA"/>
        </w:rPr>
        <w:t>SIX MONTHS ENDED JUNE 30, 2021</w:t>
      </w:r>
    </w:p>
    <w:p w14:paraId="4B70D2E5" w14:textId="77777777" w:rsidR="00BF1655" w:rsidRPr="0029508B" w:rsidRDefault="00BF1655" w:rsidP="006D7D04">
      <w:pPr>
        <w:spacing w:after="0" w:line="240" w:lineRule="auto"/>
        <w:jc w:val="both"/>
        <w:rPr>
          <w:rFonts w:ascii="Times New Roman" w:hAnsi="Times New Roman" w:cs="Times New Roman"/>
          <w:sz w:val="20"/>
          <w:szCs w:val="20"/>
          <w:lang w:val="en-CA"/>
        </w:rPr>
      </w:pPr>
    </w:p>
    <w:bookmarkEnd w:id="5"/>
    <w:p w14:paraId="10CAEBC1" w14:textId="77777777" w:rsidR="006D7D04" w:rsidRPr="00B91F50" w:rsidRDefault="006D7D04" w:rsidP="003D68E7">
      <w:pPr>
        <w:spacing w:after="0" w:line="240" w:lineRule="auto"/>
        <w:jc w:val="both"/>
        <w:rPr>
          <w:rFonts w:ascii="Times New Roman" w:hAnsi="Times New Roman" w:cs="Times New Roman"/>
          <w:b/>
          <w:i/>
          <w:sz w:val="20"/>
          <w:szCs w:val="20"/>
        </w:rPr>
      </w:pPr>
      <w:r w:rsidRPr="00B91F50">
        <w:rPr>
          <w:rFonts w:ascii="Times New Roman" w:hAnsi="Times New Roman" w:cs="Times New Roman"/>
          <w:b/>
          <w:i/>
          <w:sz w:val="20"/>
          <w:szCs w:val="20"/>
        </w:rPr>
        <w:t>Revenue</w:t>
      </w:r>
    </w:p>
    <w:p w14:paraId="53C302B6" w14:textId="77777777" w:rsidR="006D7D04" w:rsidRPr="00B91F50" w:rsidRDefault="006D7D04" w:rsidP="006D7D04">
      <w:pPr>
        <w:spacing w:after="0" w:line="240" w:lineRule="auto"/>
        <w:jc w:val="both"/>
        <w:rPr>
          <w:rFonts w:ascii="Times New Roman" w:hAnsi="Times New Roman" w:cs="Times New Roman"/>
          <w:sz w:val="20"/>
          <w:szCs w:val="20"/>
        </w:rPr>
      </w:pPr>
    </w:p>
    <w:p w14:paraId="7B4BD169" w14:textId="15CE8E48" w:rsidR="006D7D04" w:rsidRPr="00B91F50" w:rsidRDefault="006D7D04" w:rsidP="006D7D04">
      <w:pPr>
        <w:spacing w:after="0" w:line="240" w:lineRule="auto"/>
        <w:jc w:val="both"/>
        <w:rPr>
          <w:rFonts w:ascii="Times New Roman" w:hAnsi="Times New Roman" w:cs="Times New Roman"/>
          <w:sz w:val="20"/>
          <w:szCs w:val="20"/>
        </w:rPr>
      </w:pPr>
      <w:r w:rsidRPr="00B91F50">
        <w:rPr>
          <w:rFonts w:ascii="Times New Roman" w:hAnsi="Times New Roman" w:cs="Times New Roman"/>
          <w:sz w:val="20"/>
          <w:szCs w:val="20"/>
        </w:rPr>
        <w:t xml:space="preserve">The </w:t>
      </w:r>
      <w:r>
        <w:rPr>
          <w:rFonts w:ascii="Times New Roman" w:hAnsi="Times New Roman" w:cs="Times New Roman"/>
          <w:sz w:val="20"/>
          <w:szCs w:val="20"/>
        </w:rPr>
        <w:t>Company</w:t>
      </w:r>
      <w:r w:rsidRPr="00B91F50">
        <w:rPr>
          <w:rFonts w:ascii="Times New Roman" w:hAnsi="Times New Roman" w:cs="Times New Roman"/>
          <w:sz w:val="20"/>
          <w:szCs w:val="20"/>
        </w:rPr>
        <w:t xml:space="preserve"> generated interest revenue </w:t>
      </w:r>
      <w:r>
        <w:rPr>
          <w:rFonts w:ascii="Times New Roman" w:hAnsi="Times New Roman" w:cs="Times New Roman"/>
          <w:sz w:val="20"/>
          <w:szCs w:val="20"/>
        </w:rPr>
        <w:t xml:space="preserve">from its loan portfolio </w:t>
      </w:r>
      <w:r w:rsidRPr="00FD127B">
        <w:rPr>
          <w:rFonts w:ascii="Times New Roman" w:hAnsi="Times New Roman" w:cs="Times New Roman"/>
          <w:sz w:val="20"/>
          <w:szCs w:val="20"/>
        </w:rPr>
        <w:t xml:space="preserve">of </w:t>
      </w:r>
      <w:r w:rsidRPr="002C51FD">
        <w:rPr>
          <w:rFonts w:ascii="Times New Roman" w:hAnsi="Times New Roman" w:cs="Times New Roman"/>
          <w:sz w:val="20"/>
          <w:szCs w:val="20"/>
        </w:rPr>
        <w:t>$</w:t>
      </w:r>
      <w:r w:rsidR="002C51FD">
        <w:rPr>
          <w:rFonts w:ascii="Times New Roman" w:hAnsi="Times New Roman" w:cs="Times New Roman"/>
          <w:sz w:val="20"/>
          <w:szCs w:val="20"/>
        </w:rPr>
        <w:t>353,829</w:t>
      </w:r>
      <w:r w:rsidRPr="00FD127B">
        <w:rPr>
          <w:rFonts w:ascii="Times New Roman" w:hAnsi="Times New Roman" w:cs="Times New Roman"/>
          <w:sz w:val="20"/>
          <w:szCs w:val="20"/>
        </w:rPr>
        <w:t xml:space="preserve"> for the </w:t>
      </w:r>
      <w:r w:rsidR="00BF1655">
        <w:rPr>
          <w:rFonts w:ascii="Times New Roman" w:hAnsi="Times New Roman" w:cs="Times New Roman"/>
          <w:sz w:val="20"/>
          <w:szCs w:val="20"/>
        </w:rPr>
        <w:t>six months</w:t>
      </w:r>
      <w:r w:rsidR="00BF1655" w:rsidRPr="00FD127B">
        <w:rPr>
          <w:rFonts w:ascii="Times New Roman" w:hAnsi="Times New Roman" w:cs="Times New Roman"/>
          <w:sz w:val="20"/>
          <w:szCs w:val="20"/>
        </w:rPr>
        <w:t xml:space="preserve"> </w:t>
      </w:r>
      <w:r w:rsidR="009E2275" w:rsidRPr="00FD127B">
        <w:rPr>
          <w:rFonts w:ascii="Times New Roman" w:hAnsi="Times New Roman" w:cs="Times New Roman"/>
          <w:sz w:val="20"/>
          <w:szCs w:val="20"/>
        </w:rPr>
        <w:t>ended</w:t>
      </w:r>
      <w:r w:rsidRPr="00FD127B">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476FEC" w:rsidRPr="00FD127B">
        <w:rPr>
          <w:rFonts w:ascii="Times New Roman" w:hAnsi="Times New Roman" w:cs="Times New Roman"/>
          <w:sz w:val="20"/>
          <w:szCs w:val="20"/>
        </w:rPr>
        <w:t xml:space="preserve">, </w:t>
      </w:r>
      <w:r w:rsidR="008A0C43" w:rsidRPr="00FD127B">
        <w:rPr>
          <w:rFonts w:ascii="Times New Roman" w:hAnsi="Times New Roman" w:cs="Times New Roman"/>
          <w:sz w:val="20"/>
          <w:szCs w:val="20"/>
        </w:rPr>
        <w:t>202</w:t>
      </w:r>
      <w:r w:rsidR="008A0C43">
        <w:rPr>
          <w:rFonts w:ascii="Times New Roman" w:hAnsi="Times New Roman" w:cs="Times New Roman"/>
          <w:sz w:val="20"/>
          <w:szCs w:val="20"/>
        </w:rPr>
        <w:t>1</w:t>
      </w:r>
      <w:r w:rsidR="008A0C43" w:rsidRPr="00FD127B">
        <w:rPr>
          <w:rFonts w:ascii="Times New Roman" w:hAnsi="Times New Roman" w:cs="Times New Roman"/>
          <w:sz w:val="20"/>
          <w:szCs w:val="20"/>
        </w:rPr>
        <w:t xml:space="preserve"> </w:t>
      </w:r>
      <w:r w:rsidRPr="00FD127B">
        <w:rPr>
          <w:rFonts w:ascii="Times New Roman" w:hAnsi="Times New Roman" w:cs="Times New Roman"/>
          <w:sz w:val="20"/>
          <w:szCs w:val="20"/>
        </w:rPr>
        <w:t>(20</w:t>
      </w:r>
      <w:r w:rsidR="00476FEC" w:rsidRPr="00FD127B">
        <w:rPr>
          <w:rFonts w:ascii="Times New Roman" w:hAnsi="Times New Roman" w:cs="Times New Roman"/>
          <w:sz w:val="20"/>
          <w:szCs w:val="20"/>
        </w:rPr>
        <w:t>20</w:t>
      </w:r>
      <w:r w:rsidRPr="00FD127B">
        <w:rPr>
          <w:rFonts w:ascii="Times New Roman" w:hAnsi="Times New Roman" w:cs="Times New Roman"/>
          <w:sz w:val="20"/>
          <w:szCs w:val="20"/>
        </w:rPr>
        <w:t xml:space="preserve"> - $</w:t>
      </w:r>
      <w:r w:rsidR="002C51FD">
        <w:rPr>
          <w:rFonts w:ascii="Times New Roman" w:hAnsi="Times New Roman" w:cs="Times New Roman"/>
          <w:sz w:val="20"/>
          <w:szCs w:val="20"/>
        </w:rPr>
        <w:t>384,402</w:t>
      </w:r>
      <w:r w:rsidRPr="00FD127B">
        <w:rPr>
          <w:rFonts w:ascii="Times New Roman" w:hAnsi="Times New Roman" w:cs="Times New Roman"/>
          <w:sz w:val="20"/>
          <w:szCs w:val="20"/>
        </w:rPr>
        <w:t xml:space="preserve">). The </w:t>
      </w:r>
      <w:r w:rsidR="001856B2" w:rsidRPr="00FD127B">
        <w:rPr>
          <w:rFonts w:ascii="Times New Roman" w:hAnsi="Times New Roman" w:cs="Times New Roman"/>
          <w:sz w:val="20"/>
          <w:szCs w:val="20"/>
        </w:rPr>
        <w:t xml:space="preserve">decrease is </w:t>
      </w:r>
      <w:r w:rsidRPr="00FD127B">
        <w:rPr>
          <w:rFonts w:ascii="Times New Roman" w:hAnsi="Times New Roman" w:cs="Times New Roman"/>
          <w:sz w:val="20"/>
          <w:szCs w:val="20"/>
        </w:rPr>
        <w:t xml:space="preserve">primarily due to </w:t>
      </w:r>
      <w:r w:rsidR="00FD127B" w:rsidRPr="00FD127B">
        <w:rPr>
          <w:rFonts w:ascii="Times New Roman" w:hAnsi="Times New Roman" w:cs="Times New Roman"/>
          <w:sz w:val="20"/>
          <w:szCs w:val="20"/>
        </w:rPr>
        <w:t>a lower number of</w:t>
      </w:r>
      <w:r w:rsidRPr="00FD127B">
        <w:rPr>
          <w:rFonts w:ascii="Times New Roman" w:hAnsi="Times New Roman" w:cs="Times New Roman"/>
          <w:sz w:val="20"/>
          <w:szCs w:val="20"/>
        </w:rPr>
        <w:t xml:space="preserve"> consumer loans </w:t>
      </w:r>
      <w:r w:rsidR="00FD127B" w:rsidRPr="00FD127B">
        <w:rPr>
          <w:rFonts w:ascii="Times New Roman" w:hAnsi="Times New Roman" w:cs="Times New Roman"/>
          <w:sz w:val="20"/>
          <w:szCs w:val="20"/>
        </w:rPr>
        <w:t>outstanding during the period.</w:t>
      </w:r>
      <w:r w:rsidR="00FD127B">
        <w:rPr>
          <w:rFonts w:ascii="Times New Roman" w:hAnsi="Times New Roman" w:cs="Times New Roman"/>
          <w:sz w:val="20"/>
          <w:szCs w:val="20"/>
        </w:rPr>
        <w:t xml:space="preserve"> </w:t>
      </w:r>
      <w:r w:rsidR="004026D6">
        <w:rPr>
          <w:rFonts w:ascii="Times New Roman" w:hAnsi="Times New Roman" w:cs="Times New Roman"/>
          <w:sz w:val="20"/>
          <w:szCs w:val="20"/>
        </w:rPr>
        <w:t>The Company anticipates with the</w:t>
      </w:r>
      <w:r w:rsidR="008E2550" w:rsidRPr="008E2550">
        <w:rPr>
          <w:rFonts w:ascii="Times New Roman" w:hAnsi="Times New Roman" w:cs="Times New Roman"/>
          <w:sz w:val="20"/>
          <w:szCs w:val="20"/>
        </w:rPr>
        <w:t xml:space="preserve"> $10 million credit facility agreement</w:t>
      </w:r>
      <w:r w:rsidR="002C5A19">
        <w:rPr>
          <w:rFonts w:ascii="Times New Roman" w:hAnsi="Times New Roman" w:cs="Times New Roman"/>
          <w:sz w:val="20"/>
          <w:szCs w:val="20"/>
        </w:rPr>
        <w:t xml:space="preserve"> </w:t>
      </w:r>
      <w:proofErr w:type="gramStart"/>
      <w:r w:rsidR="002C5A19">
        <w:rPr>
          <w:rFonts w:ascii="Times New Roman" w:hAnsi="Times New Roman" w:cs="Times New Roman"/>
          <w:sz w:val="20"/>
          <w:szCs w:val="20"/>
        </w:rPr>
        <w:t>entered into</w:t>
      </w:r>
      <w:proofErr w:type="gramEnd"/>
      <w:r w:rsidR="008E2550" w:rsidRPr="008E2550">
        <w:rPr>
          <w:rFonts w:ascii="Times New Roman" w:hAnsi="Times New Roman" w:cs="Times New Roman"/>
          <w:sz w:val="20"/>
          <w:szCs w:val="20"/>
        </w:rPr>
        <w:t xml:space="preserve"> with Cypress Hills Partners Inc.</w:t>
      </w:r>
      <w:r w:rsidR="002C5A19">
        <w:rPr>
          <w:rFonts w:ascii="Times New Roman" w:hAnsi="Times New Roman" w:cs="Times New Roman"/>
          <w:sz w:val="20"/>
          <w:szCs w:val="20"/>
        </w:rPr>
        <w:t xml:space="preserve"> that it will be able to re-start its </w:t>
      </w:r>
      <w:r w:rsidRPr="00B91F50">
        <w:rPr>
          <w:rFonts w:ascii="Times New Roman" w:hAnsi="Times New Roman" w:cs="Times New Roman"/>
          <w:sz w:val="20"/>
          <w:szCs w:val="20"/>
        </w:rPr>
        <w:t>Fast-Track program</w:t>
      </w:r>
      <w:r w:rsidR="002C5A19">
        <w:rPr>
          <w:rFonts w:ascii="Times New Roman" w:hAnsi="Times New Roman" w:cs="Times New Roman"/>
          <w:sz w:val="20"/>
          <w:szCs w:val="20"/>
        </w:rPr>
        <w:t>.</w:t>
      </w:r>
    </w:p>
    <w:p w14:paraId="26ADAC6C" w14:textId="77777777" w:rsidR="006D7D04" w:rsidRPr="00152D99" w:rsidRDefault="006D7D04" w:rsidP="006D7D04">
      <w:pPr>
        <w:pStyle w:val="ListParagraph"/>
        <w:spacing w:after="0" w:line="240" w:lineRule="auto"/>
        <w:ind w:left="785"/>
        <w:contextualSpacing w:val="0"/>
        <w:jc w:val="both"/>
        <w:rPr>
          <w:rFonts w:ascii="Times New Roman" w:hAnsi="Times New Roman" w:cs="Times New Roman"/>
          <w:sz w:val="20"/>
          <w:szCs w:val="20"/>
        </w:rPr>
      </w:pPr>
    </w:p>
    <w:p w14:paraId="6FBC67B3" w14:textId="192FEE31" w:rsidR="006D7D04" w:rsidRDefault="00C1110E" w:rsidP="006D7D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sidR="006D7D04" w:rsidRPr="00FD127B">
        <w:rPr>
          <w:rFonts w:ascii="Times New Roman" w:hAnsi="Times New Roman" w:cs="Times New Roman"/>
          <w:sz w:val="20"/>
          <w:szCs w:val="20"/>
        </w:rPr>
        <w:t xml:space="preserve">or the </w:t>
      </w:r>
      <w:r w:rsidR="00BF1655">
        <w:rPr>
          <w:rFonts w:ascii="Times New Roman" w:hAnsi="Times New Roman" w:cs="Times New Roman"/>
          <w:sz w:val="20"/>
          <w:szCs w:val="20"/>
        </w:rPr>
        <w:t xml:space="preserve">six months </w:t>
      </w:r>
      <w:r w:rsidR="00476FEC" w:rsidRPr="00FD127B">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476FEC" w:rsidRPr="00FD127B">
        <w:rPr>
          <w:rFonts w:ascii="Times New Roman" w:hAnsi="Times New Roman" w:cs="Times New Roman"/>
          <w:sz w:val="20"/>
          <w:szCs w:val="20"/>
        </w:rPr>
        <w:t>, 2021</w:t>
      </w:r>
      <w:r>
        <w:rPr>
          <w:rFonts w:ascii="Times New Roman" w:hAnsi="Times New Roman" w:cs="Times New Roman"/>
          <w:sz w:val="20"/>
          <w:szCs w:val="20"/>
        </w:rPr>
        <w:t xml:space="preserve">, the Company generated </w:t>
      </w:r>
      <w:bookmarkStart w:id="6" w:name="_Hlk73260437"/>
      <w:r w:rsidR="008A14AE" w:rsidRPr="002C783B">
        <w:rPr>
          <w:rFonts w:ascii="Times New Roman" w:hAnsi="Times New Roman" w:cs="Times New Roman"/>
          <w:sz w:val="20"/>
          <w:szCs w:val="20"/>
        </w:rPr>
        <w:t>$</w:t>
      </w:r>
      <w:r w:rsidR="002C783B" w:rsidRPr="002C783B">
        <w:rPr>
          <w:rFonts w:ascii="Times New Roman" w:hAnsi="Times New Roman" w:cs="Times New Roman"/>
          <w:sz w:val="20"/>
          <w:szCs w:val="20"/>
        </w:rPr>
        <w:t>26,561</w:t>
      </w:r>
      <w:r w:rsidR="008A14AE" w:rsidRPr="002C783B">
        <w:rPr>
          <w:rFonts w:ascii="Times New Roman" w:hAnsi="Times New Roman" w:cs="Times New Roman"/>
          <w:sz w:val="20"/>
          <w:szCs w:val="20"/>
        </w:rPr>
        <w:t xml:space="preserve"> (2020 – $</w:t>
      </w:r>
      <w:r w:rsidR="002C783B" w:rsidRPr="002C783B">
        <w:rPr>
          <w:rFonts w:ascii="Times New Roman" w:hAnsi="Times New Roman" w:cs="Times New Roman"/>
          <w:sz w:val="20"/>
          <w:szCs w:val="20"/>
        </w:rPr>
        <w:t>80</w:t>
      </w:r>
      <w:r w:rsidR="002C783B">
        <w:rPr>
          <w:rFonts w:ascii="Times New Roman" w:hAnsi="Times New Roman" w:cs="Times New Roman"/>
          <w:sz w:val="20"/>
          <w:szCs w:val="20"/>
        </w:rPr>
        <w:t>,165</w:t>
      </w:r>
      <w:r w:rsidR="008A14AE">
        <w:rPr>
          <w:rFonts w:ascii="Times New Roman" w:hAnsi="Times New Roman" w:cs="Times New Roman"/>
          <w:sz w:val="20"/>
          <w:szCs w:val="20"/>
        </w:rPr>
        <w:t xml:space="preserve">) </w:t>
      </w:r>
      <w:r w:rsidR="00615357">
        <w:rPr>
          <w:rFonts w:ascii="Times New Roman" w:hAnsi="Times New Roman" w:cs="Times New Roman"/>
          <w:sz w:val="20"/>
          <w:szCs w:val="20"/>
        </w:rPr>
        <w:t xml:space="preserve">of service fees and other income, </w:t>
      </w:r>
      <w:bookmarkEnd w:id="6"/>
      <w:r w:rsidR="006D7D04" w:rsidRPr="00B91F50">
        <w:rPr>
          <w:rFonts w:ascii="Times New Roman" w:hAnsi="Times New Roman" w:cs="Times New Roman"/>
          <w:sz w:val="20"/>
          <w:szCs w:val="20"/>
        </w:rPr>
        <w:t xml:space="preserve">primarily related </w:t>
      </w:r>
      <w:r w:rsidR="00615357">
        <w:rPr>
          <w:rFonts w:ascii="Times New Roman" w:hAnsi="Times New Roman" w:cs="Times New Roman"/>
          <w:sz w:val="20"/>
          <w:szCs w:val="20"/>
        </w:rPr>
        <w:t>to the present value discount received from customer loan payments</w:t>
      </w:r>
      <w:r w:rsidR="002C783B">
        <w:rPr>
          <w:rFonts w:ascii="Times New Roman" w:hAnsi="Times New Roman" w:cs="Times New Roman"/>
          <w:sz w:val="20"/>
          <w:szCs w:val="20"/>
        </w:rPr>
        <w:t>,</w:t>
      </w:r>
      <w:r w:rsidR="00615357">
        <w:rPr>
          <w:rFonts w:ascii="Times New Roman" w:hAnsi="Times New Roman" w:cs="Times New Roman"/>
          <w:sz w:val="20"/>
          <w:szCs w:val="20"/>
        </w:rPr>
        <w:t xml:space="preserve"> </w:t>
      </w:r>
      <w:r w:rsidR="00615357" w:rsidRPr="002C783B">
        <w:rPr>
          <w:rFonts w:ascii="Times New Roman" w:hAnsi="Times New Roman" w:cs="Times New Roman"/>
          <w:sz w:val="20"/>
          <w:szCs w:val="20"/>
        </w:rPr>
        <w:t>subscription fees</w:t>
      </w:r>
      <w:r w:rsidR="008A14AE" w:rsidRPr="002C783B">
        <w:rPr>
          <w:rFonts w:ascii="Times New Roman" w:hAnsi="Times New Roman" w:cs="Times New Roman"/>
          <w:sz w:val="20"/>
          <w:szCs w:val="20"/>
        </w:rPr>
        <w:t xml:space="preserve"> of $</w:t>
      </w:r>
      <w:r w:rsidR="002C783B" w:rsidRPr="002C783B">
        <w:rPr>
          <w:rFonts w:ascii="Times New Roman" w:hAnsi="Times New Roman" w:cs="Times New Roman"/>
          <w:sz w:val="20"/>
          <w:szCs w:val="20"/>
        </w:rPr>
        <w:t>205,108</w:t>
      </w:r>
      <w:r w:rsidR="008A14AE" w:rsidRPr="002C783B">
        <w:rPr>
          <w:rFonts w:ascii="Times New Roman" w:hAnsi="Times New Roman" w:cs="Times New Roman"/>
          <w:sz w:val="20"/>
          <w:szCs w:val="20"/>
        </w:rPr>
        <w:t xml:space="preserve"> (2020 – $</w:t>
      </w:r>
      <w:r w:rsidR="002C783B" w:rsidRPr="002C783B">
        <w:rPr>
          <w:rFonts w:ascii="Times New Roman" w:hAnsi="Times New Roman" w:cs="Times New Roman"/>
          <w:sz w:val="20"/>
          <w:szCs w:val="20"/>
        </w:rPr>
        <w:t>76,223</w:t>
      </w:r>
      <w:r w:rsidR="008A14AE" w:rsidRPr="002C783B">
        <w:rPr>
          <w:rFonts w:ascii="Times New Roman" w:hAnsi="Times New Roman" w:cs="Times New Roman"/>
          <w:sz w:val="20"/>
          <w:szCs w:val="20"/>
        </w:rPr>
        <w:t>)</w:t>
      </w:r>
      <w:r w:rsidR="006D7D04" w:rsidRPr="002C783B">
        <w:rPr>
          <w:rFonts w:ascii="Times New Roman" w:hAnsi="Times New Roman" w:cs="Times New Roman"/>
          <w:sz w:val="20"/>
          <w:szCs w:val="20"/>
        </w:rPr>
        <w:t xml:space="preserve"> from subscriptions of Score-Up</w:t>
      </w:r>
      <w:r w:rsidR="002C783B" w:rsidRPr="002C783B">
        <w:rPr>
          <w:rFonts w:ascii="Times New Roman" w:hAnsi="Times New Roman" w:cs="Times New Roman"/>
          <w:sz w:val="20"/>
          <w:szCs w:val="20"/>
        </w:rPr>
        <w:t xml:space="preserve"> and $125,298 (2020 - $nil) of verification fees generated from </w:t>
      </w:r>
      <w:proofErr w:type="spellStart"/>
      <w:r w:rsidR="002C783B" w:rsidRPr="002C783B">
        <w:rPr>
          <w:rFonts w:ascii="Times New Roman" w:hAnsi="Times New Roman" w:cs="Times New Roman"/>
          <w:sz w:val="20"/>
          <w:szCs w:val="20"/>
        </w:rPr>
        <w:t>Inverite</w:t>
      </w:r>
      <w:proofErr w:type="spellEnd"/>
      <w:r w:rsidR="006D7D04" w:rsidRPr="00B91F50">
        <w:rPr>
          <w:rFonts w:ascii="Times New Roman" w:hAnsi="Times New Roman" w:cs="Times New Roman"/>
          <w:sz w:val="20"/>
          <w:szCs w:val="20"/>
        </w:rPr>
        <w:t>.</w:t>
      </w:r>
      <w:r w:rsidR="002C5A19">
        <w:rPr>
          <w:rFonts w:ascii="Times New Roman" w:hAnsi="Times New Roman" w:cs="Times New Roman"/>
          <w:sz w:val="20"/>
          <w:szCs w:val="20"/>
        </w:rPr>
        <w:t xml:space="preserve"> Service fees decreased primarily due to the lower number of consumer loans outstanding during the period.</w:t>
      </w:r>
    </w:p>
    <w:p w14:paraId="5ED17AFB" w14:textId="4AB2667A" w:rsidR="002C5A19" w:rsidRDefault="002C5A19" w:rsidP="006D7D04">
      <w:pPr>
        <w:spacing w:after="0" w:line="240" w:lineRule="auto"/>
        <w:jc w:val="both"/>
        <w:rPr>
          <w:rFonts w:ascii="Times New Roman" w:hAnsi="Times New Roman" w:cs="Times New Roman"/>
          <w:sz w:val="20"/>
          <w:szCs w:val="20"/>
        </w:rPr>
      </w:pPr>
    </w:p>
    <w:p w14:paraId="3912466A" w14:textId="5D82490F" w:rsidR="002C5A19" w:rsidRPr="00B91F50" w:rsidRDefault="002C5A19" w:rsidP="006D7D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Company began generating subscription revenues from Score-Up in Q1 2021 and acquired </w:t>
      </w:r>
      <w:proofErr w:type="spellStart"/>
      <w:r>
        <w:rPr>
          <w:rFonts w:ascii="Times New Roman" w:hAnsi="Times New Roman" w:cs="Times New Roman"/>
          <w:sz w:val="20"/>
          <w:szCs w:val="20"/>
        </w:rPr>
        <w:t>Inverite</w:t>
      </w:r>
      <w:proofErr w:type="spellEnd"/>
      <w:r>
        <w:rPr>
          <w:rFonts w:ascii="Times New Roman" w:hAnsi="Times New Roman" w:cs="Times New Roman"/>
          <w:sz w:val="20"/>
          <w:szCs w:val="20"/>
        </w:rPr>
        <w:t xml:space="preserve"> on April 12, 2021.</w:t>
      </w:r>
    </w:p>
    <w:p w14:paraId="0AE81C12" w14:textId="77777777" w:rsidR="00BF1655" w:rsidRDefault="00BF1655" w:rsidP="006D7D04">
      <w:pPr>
        <w:spacing w:after="0" w:line="240" w:lineRule="auto"/>
        <w:rPr>
          <w:rFonts w:ascii="Times New Roman" w:hAnsi="Times New Roman" w:cs="Times New Roman"/>
          <w:b/>
          <w:i/>
          <w:sz w:val="20"/>
          <w:szCs w:val="20"/>
        </w:rPr>
      </w:pPr>
    </w:p>
    <w:p w14:paraId="0B72EACE" w14:textId="25C55144" w:rsidR="006D7D04" w:rsidRPr="001D534D" w:rsidRDefault="00C1110E" w:rsidP="006D7D04">
      <w:pPr>
        <w:spacing w:after="0" w:line="240" w:lineRule="auto"/>
        <w:rPr>
          <w:rFonts w:ascii="Times New Roman" w:hAnsi="Times New Roman" w:cs="Times New Roman"/>
          <w:b/>
          <w:i/>
          <w:sz w:val="20"/>
          <w:szCs w:val="20"/>
        </w:rPr>
      </w:pPr>
      <w:r>
        <w:rPr>
          <w:rFonts w:ascii="Times New Roman" w:hAnsi="Times New Roman" w:cs="Times New Roman"/>
          <w:b/>
          <w:i/>
          <w:sz w:val="20"/>
          <w:szCs w:val="20"/>
        </w:rPr>
        <w:t>I</w:t>
      </w:r>
      <w:r w:rsidR="006D7D04" w:rsidRPr="001D534D">
        <w:rPr>
          <w:rFonts w:ascii="Times New Roman" w:hAnsi="Times New Roman" w:cs="Times New Roman"/>
          <w:b/>
          <w:i/>
          <w:sz w:val="20"/>
          <w:szCs w:val="20"/>
        </w:rPr>
        <w:t>nterest expense</w:t>
      </w:r>
    </w:p>
    <w:p w14:paraId="52A69D3A" w14:textId="77777777" w:rsidR="006D7D04" w:rsidRPr="001D534D" w:rsidRDefault="006D7D04" w:rsidP="006D7D04">
      <w:pPr>
        <w:pStyle w:val="ListParagraph"/>
        <w:spacing w:after="0" w:line="240" w:lineRule="auto"/>
        <w:contextualSpacing w:val="0"/>
        <w:jc w:val="both"/>
        <w:rPr>
          <w:rFonts w:ascii="Times New Roman" w:hAnsi="Times New Roman" w:cs="Times New Roman"/>
          <w:sz w:val="20"/>
          <w:szCs w:val="20"/>
        </w:rPr>
      </w:pPr>
    </w:p>
    <w:p w14:paraId="5CEAA358" w14:textId="3100D86D" w:rsidR="006D7D04" w:rsidRPr="001D534D" w:rsidRDefault="006D7D04" w:rsidP="006D7D04">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The </w:t>
      </w:r>
      <w:r>
        <w:rPr>
          <w:rFonts w:ascii="Times New Roman" w:hAnsi="Times New Roman" w:cs="Times New Roman"/>
          <w:sz w:val="20"/>
          <w:szCs w:val="20"/>
        </w:rPr>
        <w:t>Company</w:t>
      </w:r>
      <w:r w:rsidRPr="001D534D">
        <w:rPr>
          <w:rFonts w:ascii="Times New Roman" w:hAnsi="Times New Roman" w:cs="Times New Roman"/>
          <w:sz w:val="20"/>
          <w:szCs w:val="20"/>
        </w:rPr>
        <w:t xml:space="preserve"> incurred </w:t>
      </w:r>
      <w:r>
        <w:rPr>
          <w:rFonts w:ascii="Times New Roman" w:hAnsi="Times New Roman" w:cs="Times New Roman"/>
          <w:sz w:val="20"/>
          <w:szCs w:val="20"/>
        </w:rPr>
        <w:t xml:space="preserve">bond </w:t>
      </w:r>
      <w:r w:rsidRPr="001D534D">
        <w:rPr>
          <w:rFonts w:ascii="Times New Roman" w:hAnsi="Times New Roman" w:cs="Times New Roman"/>
          <w:sz w:val="20"/>
          <w:szCs w:val="20"/>
        </w:rPr>
        <w:t xml:space="preserve">interest expense </w:t>
      </w:r>
      <w:r w:rsidRPr="00C17E79">
        <w:rPr>
          <w:rFonts w:ascii="Times New Roman" w:hAnsi="Times New Roman" w:cs="Times New Roman"/>
          <w:sz w:val="20"/>
          <w:szCs w:val="20"/>
        </w:rPr>
        <w:t>of $</w:t>
      </w:r>
      <w:r w:rsidR="00C17E79" w:rsidRPr="00C17E79">
        <w:rPr>
          <w:rFonts w:ascii="Times New Roman" w:hAnsi="Times New Roman" w:cs="Times New Roman"/>
          <w:sz w:val="20"/>
          <w:szCs w:val="20"/>
        </w:rPr>
        <w:t>257</w:t>
      </w:r>
      <w:r w:rsidR="00C17E79">
        <w:rPr>
          <w:rFonts w:ascii="Times New Roman" w:hAnsi="Times New Roman" w:cs="Times New Roman"/>
          <w:sz w:val="20"/>
          <w:szCs w:val="20"/>
        </w:rPr>
        <w:t>,428</w:t>
      </w:r>
      <w:r w:rsidRPr="00FD127B">
        <w:rPr>
          <w:rFonts w:ascii="Times New Roman" w:hAnsi="Times New Roman" w:cs="Times New Roman"/>
          <w:sz w:val="20"/>
          <w:szCs w:val="20"/>
        </w:rPr>
        <w:t xml:space="preserve"> for the </w:t>
      </w:r>
      <w:r w:rsidR="00BF1655">
        <w:rPr>
          <w:rFonts w:ascii="Times New Roman" w:hAnsi="Times New Roman" w:cs="Times New Roman"/>
          <w:sz w:val="20"/>
          <w:szCs w:val="20"/>
        </w:rPr>
        <w:t>six months</w:t>
      </w:r>
      <w:r w:rsidR="00BF1655" w:rsidRPr="00FD127B">
        <w:rPr>
          <w:rFonts w:ascii="Times New Roman" w:hAnsi="Times New Roman" w:cs="Times New Roman"/>
          <w:sz w:val="20"/>
          <w:szCs w:val="20"/>
        </w:rPr>
        <w:t xml:space="preserve"> </w:t>
      </w:r>
      <w:r w:rsidR="00476FEC" w:rsidRPr="00FD127B">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476FEC" w:rsidRPr="00FD127B">
        <w:rPr>
          <w:rFonts w:ascii="Times New Roman" w:hAnsi="Times New Roman" w:cs="Times New Roman"/>
          <w:sz w:val="20"/>
          <w:szCs w:val="20"/>
        </w:rPr>
        <w:t xml:space="preserve">, 2021 </w:t>
      </w:r>
      <w:r w:rsidRPr="00FD127B">
        <w:rPr>
          <w:rFonts w:ascii="Times New Roman" w:hAnsi="Times New Roman" w:cs="Times New Roman"/>
          <w:sz w:val="20"/>
          <w:szCs w:val="20"/>
        </w:rPr>
        <w:t>(20</w:t>
      </w:r>
      <w:r w:rsidR="00476FEC" w:rsidRPr="00FD127B">
        <w:rPr>
          <w:rFonts w:ascii="Times New Roman" w:hAnsi="Times New Roman" w:cs="Times New Roman"/>
          <w:sz w:val="20"/>
          <w:szCs w:val="20"/>
        </w:rPr>
        <w:t>20</w:t>
      </w:r>
      <w:r w:rsidRPr="00FD127B">
        <w:rPr>
          <w:rFonts w:ascii="Times New Roman" w:hAnsi="Times New Roman" w:cs="Times New Roman"/>
          <w:sz w:val="20"/>
          <w:szCs w:val="20"/>
        </w:rPr>
        <w:t xml:space="preserve"> </w:t>
      </w:r>
      <w:r w:rsidRPr="00C17E79">
        <w:rPr>
          <w:rFonts w:ascii="Times New Roman" w:hAnsi="Times New Roman" w:cs="Times New Roman"/>
          <w:sz w:val="20"/>
          <w:szCs w:val="20"/>
        </w:rPr>
        <w:t>- $</w:t>
      </w:r>
      <w:r w:rsidR="00C17E79">
        <w:rPr>
          <w:rFonts w:ascii="Times New Roman" w:hAnsi="Times New Roman" w:cs="Times New Roman"/>
          <w:sz w:val="20"/>
          <w:szCs w:val="20"/>
        </w:rPr>
        <w:t>256,593</w:t>
      </w:r>
      <w:r w:rsidRPr="00FD127B">
        <w:rPr>
          <w:rFonts w:ascii="Times New Roman" w:hAnsi="Times New Roman" w:cs="Times New Roman"/>
          <w:sz w:val="20"/>
          <w:szCs w:val="20"/>
        </w:rPr>
        <w:t>).</w:t>
      </w:r>
      <w:r w:rsidRPr="001D534D">
        <w:rPr>
          <w:rFonts w:ascii="Times New Roman" w:hAnsi="Times New Roman" w:cs="Times New Roman"/>
          <w:sz w:val="20"/>
          <w:szCs w:val="20"/>
        </w:rPr>
        <w:t xml:space="preserve">  </w:t>
      </w:r>
    </w:p>
    <w:p w14:paraId="308948AD" w14:textId="77777777" w:rsidR="006D7D04" w:rsidRDefault="006D7D04" w:rsidP="006D7D04">
      <w:pPr>
        <w:spacing w:after="0" w:line="240" w:lineRule="auto"/>
        <w:rPr>
          <w:rFonts w:ascii="Times New Roman" w:hAnsi="Times New Roman" w:cs="Times New Roman"/>
          <w:b/>
          <w:i/>
          <w:sz w:val="20"/>
          <w:szCs w:val="20"/>
          <w:highlight w:val="yellow"/>
        </w:rPr>
      </w:pPr>
    </w:p>
    <w:p w14:paraId="1DB5E94B" w14:textId="77777777" w:rsidR="006D7D04" w:rsidRPr="00152D99" w:rsidRDefault="006D7D04" w:rsidP="006D7D04">
      <w:pPr>
        <w:spacing w:after="0" w:line="240" w:lineRule="auto"/>
        <w:rPr>
          <w:rFonts w:ascii="Times New Roman" w:hAnsi="Times New Roman" w:cs="Times New Roman"/>
          <w:b/>
          <w:i/>
          <w:sz w:val="20"/>
          <w:szCs w:val="20"/>
        </w:rPr>
      </w:pPr>
      <w:r w:rsidRPr="00152D99">
        <w:rPr>
          <w:rFonts w:ascii="Times New Roman" w:hAnsi="Times New Roman" w:cs="Times New Roman"/>
          <w:b/>
          <w:i/>
          <w:sz w:val="20"/>
          <w:szCs w:val="20"/>
        </w:rPr>
        <w:t>Bad debt expense</w:t>
      </w:r>
    </w:p>
    <w:p w14:paraId="66C3B0EB" w14:textId="77777777" w:rsidR="006D7D04" w:rsidRPr="00152D99" w:rsidRDefault="006D7D04" w:rsidP="006D7D04">
      <w:pPr>
        <w:spacing w:after="0" w:line="240" w:lineRule="auto"/>
        <w:rPr>
          <w:rFonts w:ascii="Times New Roman" w:hAnsi="Times New Roman" w:cs="Times New Roman"/>
          <w:b/>
          <w:i/>
          <w:sz w:val="20"/>
          <w:szCs w:val="20"/>
        </w:rPr>
      </w:pPr>
    </w:p>
    <w:p w14:paraId="033CA05B" w14:textId="572879BC" w:rsidR="00AF42C7" w:rsidRPr="00473DEB" w:rsidRDefault="006D7D04" w:rsidP="006D7D04">
      <w:pPr>
        <w:spacing w:after="0" w:line="240" w:lineRule="auto"/>
        <w:jc w:val="both"/>
        <w:rPr>
          <w:rFonts w:ascii="Times New Roman" w:hAnsi="Times New Roman" w:cs="Times New Roman"/>
          <w:bCs/>
          <w:iCs/>
          <w:sz w:val="20"/>
          <w:szCs w:val="20"/>
        </w:rPr>
      </w:pPr>
      <w:r w:rsidRPr="00152D99">
        <w:rPr>
          <w:rFonts w:ascii="Times New Roman" w:hAnsi="Times New Roman" w:cs="Times New Roman"/>
          <w:bCs/>
          <w:iCs/>
          <w:sz w:val="20"/>
          <w:szCs w:val="20"/>
        </w:rPr>
        <w:t xml:space="preserve">The </w:t>
      </w:r>
      <w:r>
        <w:rPr>
          <w:rFonts w:ascii="Times New Roman" w:hAnsi="Times New Roman" w:cs="Times New Roman"/>
          <w:bCs/>
          <w:iCs/>
          <w:sz w:val="20"/>
          <w:szCs w:val="20"/>
        </w:rPr>
        <w:t>Company</w:t>
      </w:r>
      <w:r w:rsidRPr="00152D99">
        <w:rPr>
          <w:rFonts w:ascii="Times New Roman" w:hAnsi="Times New Roman" w:cs="Times New Roman"/>
          <w:bCs/>
          <w:iCs/>
          <w:sz w:val="20"/>
          <w:szCs w:val="20"/>
        </w:rPr>
        <w:t xml:space="preserve"> recorded bad debt </w:t>
      </w:r>
      <w:r w:rsidRPr="00473DEB">
        <w:rPr>
          <w:rFonts w:ascii="Times New Roman" w:hAnsi="Times New Roman" w:cs="Times New Roman"/>
          <w:bCs/>
          <w:iCs/>
          <w:sz w:val="20"/>
          <w:szCs w:val="20"/>
        </w:rPr>
        <w:t xml:space="preserve">expense </w:t>
      </w:r>
      <w:r w:rsidRPr="00C17E79">
        <w:rPr>
          <w:rFonts w:ascii="Times New Roman" w:hAnsi="Times New Roman" w:cs="Times New Roman"/>
          <w:bCs/>
          <w:iCs/>
          <w:sz w:val="20"/>
          <w:szCs w:val="20"/>
        </w:rPr>
        <w:t>of $</w:t>
      </w:r>
      <w:r w:rsidR="00C17E79" w:rsidRPr="00C17E79">
        <w:rPr>
          <w:rFonts w:ascii="Times New Roman" w:hAnsi="Times New Roman" w:cs="Times New Roman"/>
          <w:bCs/>
          <w:iCs/>
          <w:sz w:val="20"/>
          <w:szCs w:val="20"/>
        </w:rPr>
        <w:t>154,619</w:t>
      </w:r>
      <w:r w:rsidR="00AF42C7" w:rsidRPr="00C17E79">
        <w:rPr>
          <w:rFonts w:ascii="Times New Roman" w:hAnsi="Times New Roman" w:cs="Times New Roman"/>
          <w:bCs/>
          <w:iCs/>
          <w:sz w:val="20"/>
          <w:szCs w:val="20"/>
        </w:rPr>
        <w:t xml:space="preserve"> </w:t>
      </w:r>
      <w:r w:rsidRPr="00C17E79">
        <w:rPr>
          <w:rFonts w:ascii="Times New Roman" w:hAnsi="Times New Roman" w:cs="Times New Roman"/>
          <w:bCs/>
          <w:iCs/>
          <w:sz w:val="20"/>
          <w:szCs w:val="20"/>
        </w:rPr>
        <w:t>for the</w:t>
      </w:r>
      <w:r w:rsidRPr="00473DEB">
        <w:rPr>
          <w:rFonts w:ascii="Times New Roman" w:hAnsi="Times New Roman" w:cs="Times New Roman"/>
          <w:bCs/>
          <w:iCs/>
          <w:sz w:val="20"/>
          <w:szCs w:val="20"/>
        </w:rPr>
        <w:t xml:space="preserve"> </w:t>
      </w:r>
      <w:r w:rsidR="00D21B97">
        <w:rPr>
          <w:rFonts w:ascii="Times New Roman" w:hAnsi="Times New Roman" w:cs="Times New Roman"/>
          <w:bCs/>
          <w:iCs/>
          <w:sz w:val="20"/>
          <w:szCs w:val="20"/>
        </w:rPr>
        <w:t>six months</w:t>
      </w:r>
      <w:r w:rsidR="00D21B97" w:rsidRPr="00473DEB">
        <w:rPr>
          <w:rFonts w:ascii="Times New Roman" w:hAnsi="Times New Roman" w:cs="Times New Roman"/>
          <w:bCs/>
          <w:iCs/>
          <w:sz w:val="20"/>
          <w:szCs w:val="20"/>
        </w:rPr>
        <w:t xml:space="preserve"> </w:t>
      </w:r>
      <w:r w:rsidR="00476FEC" w:rsidRPr="00473DEB">
        <w:rPr>
          <w:rFonts w:ascii="Times New Roman" w:hAnsi="Times New Roman" w:cs="Times New Roman"/>
          <w:bCs/>
          <w:iCs/>
          <w:sz w:val="20"/>
          <w:szCs w:val="20"/>
        </w:rPr>
        <w:t xml:space="preserve">ended </w:t>
      </w:r>
      <w:r w:rsidR="006A4DDD">
        <w:rPr>
          <w:rFonts w:ascii="Times New Roman" w:hAnsi="Times New Roman" w:cs="Times New Roman"/>
          <w:bCs/>
          <w:iCs/>
          <w:sz w:val="20"/>
          <w:szCs w:val="20"/>
        </w:rPr>
        <w:t>June 30</w:t>
      </w:r>
      <w:r w:rsidR="00476FEC" w:rsidRPr="00473DEB">
        <w:rPr>
          <w:rFonts w:ascii="Times New Roman" w:hAnsi="Times New Roman" w:cs="Times New Roman"/>
          <w:bCs/>
          <w:iCs/>
          <w:sz w:val="20"/>
          <w:szCs w:val="20"/>
        </w:rPr>
        <w:t>, 2021</w:t>
      </w:r>
      <w:r w:rsidRPr="00473DEB">
        <w:rPr>
          <w:rFonts w:ascii="Times New Roman" w:hAnsi="Times New Roman" w:cs="Times New Roman"/>
          <w:bCs/>
          <w:iCs/>
          <w:sz w:val="20"/>
          <w:szCs w:val="20"/>
        </w:rPr>
        <w:t xml:space="preserve"> (20</w:t>
      </w:r>
      <w:r w:rsidR="00476FEC" w:rsidRPr="00473DEB">
        <w:rPr>
          <w:rFonts w:ascii="Times New Roman" w:hAnsi="Times New Roman" w:cs="Times New Roman"/>
          <w:bCs/>
          <w:iCs/>
          <w:sz w:val="20"/>
          <w:szCs w:val="20"/>
        </w:rPr>
        <w:t>20</w:t>
      </w:r>
      <w:r w:rsidRPr="00473DEB">
        <w:rPr>
          <w:rFonts w:ascii="Times New Roman" w:hAnsi="Times New Roman" w:cs="Times New Roman"/>
          <w:bCs/>
          <w:iCs/>
          <w:sz w:val="20"/>
          <w:szCs w:val="20"/>
        </w:rPr>
        <w:t xml:space="preserve"> - $</w:t>
      </w:r>
      <w:r w:rsidR="006A4DDD">
        <w:rPr>
          <w:rFonts w:ascii="Times New Roman" w:hAnsi="Times New Roman" w:cs="Times New Roman"/>
          <w:bCs/>
          <w:iCs/>
          <w:sz w:val="20"/>
          <w:szCs w:val="20"/>
        </w:rPr>
        <w:t>32,102</w:t>
      </w:r>
      <w:r w:rsidR="00AF42C7">
        <w:rPr>
          <w:rFonts w:ascii="Times New Roman" w:hAnsi="Times New Roman" w:cs="Times New Roman"/>
          <w:bCs/>
          <w:iCs/>
          <w:sz w:val="20"/>
          <w:szCs w:val="20"/>
        </w:rPr>
        <w:t>).</w:t>
      </w:r>
      <w:r w:rsidR="00AF42C7" w:rsidRPr="00AF42C7">
        <w:rPr>
          <w:rFonts w:ascii="Times New Roman" w:hAnsi="Times New Roman" w:cs="Times New Roman"/>
          <w:bCs/>
          <w:iCs/>
          <w:sz w:val="20"/>
          <w:szCs w:val="20"/>
        </w:rPr>
        <w:t xml:space="preserve"> </w:t>
      </w:r>
      <w:r w:rsidR="00AF42C7" w:rsidRPr="00152D99">
        <w:rPr>
          <w:rFonts w:ascii="Times New Roman" w:hAnsi="Times New Roman" w:cs="Times New Roman"/>
          <w:bCs/>
          <w:iCs/>
          <w:sz w:val="20"/>
          <w:szCs w:val="20"/>
        </w:rPr>
        <w:t>The increase of bad debt</w:t>
      </w:r>
      <w:r w:rsidR="00AF42C7">
        <w:rPr>
          <w:rFonts w:ascii="Times New Roman" w:hAnsi="Times New Roman" w:cs="Times New Roman"/>
          <w:bCs/>
          <w:iCs/>
          <w:sz w:val="20"/>
          <w:szCs w:val="20"/>
        </w:rPr>
        <w:t xml:space="preserve"> expense</w:t>
      </w:r>
      <w:r w:rsidR="00AF42C7" w:rsidRPr="00152D99">
        <w:rPr>
          <w:rFonts w:ascii="Times New Roman" w:hAnsi="Times New Roman" w:cs="Times New Roman"/>
          <w:bCs/>
          <w:iCs/>
          <w:sz w:val="20"/>
          <w:szCs w:val="20"/>
        </w:rPr>
        <w:t xml:space="preserve"> is a result </w:t>
      </w:r>
      <w:r w:rsidR="00AF42C7">
        <w:rPr>
          <w:rFonts w:ascii="Times New Roman" w:hAnsi="Times New Roman" w:cs="Times New Roman"/>
          <w:bCs/>
          <w:iCs/>
          <w:sz w:val="20"/>
          <w:szCs w:val="20"/>
        </w:rPr>
        <w:t xml:space="preserve">of increased loan write-offs during the period, </w:t>
      </w:r>
      <w:proofErr w:type="gramStart"/>
      <w:r w:rsidR="00AF42C7">
        <w:rPr>
          <w:rFonts w:ascii="Times New Roman" w:hAnsi="Times New Roman" w:cs="Times New Roman"/>
          <w:bCs/>
          <w:iCs/>
          <w:sz w:val="20"/>
          <w:szCs w:val="20"/>
        </w:rPr>
        <w:t>as a result of</w:t>
      </w:r>
      <w:proofErr w:type="gramEnd"/>
      <w:r w:rsidR="00AF42C7">
        <w:rPr>
          <w:rFonts w:ascii="Times New Roman" w:hAnsi="Times New Roman" w:cs="Times New Roman"/>
          <w:bCs/>
          <w:iCs/>
          <w:sz w:val="20"/>
          <w:szCs w:val="20"/>
        </w:rPr>
        <w:t xml:space="preserve"> Marble’s review of its loan portfolio</w:t>
      </w:r>
      <w:r w:rsidR="00AF42C7" w:rsidRPr="00152D99">
        <w:rPr>
          <w:rFonts w:ascii="Times New Roman" w:hAnsi="Times New Roman" w:cs="Times New Roman"/>
          <w:bCs/>
          <w:iCs/>
          <w:sz w:val="20"/>
          <w:szCs w:val="20"/>
        </w:rPr>
        <w:t>.</w:t>
      </w:r>
    </w:p>
    <w:p w14:paraId="1ACDD671" w14:textId="77777777" w:rsidR="006D7D04" w:rsidRPr="003D68E7" w:rsidRDefault="006D7D04" w:rsidP="00AF42C7">
      <w:pPr>
        <w:spacing w:after="0" w:line="240" w:lineRule="auto"/>
        <w:jc w:val="both"/>
        <w:rPr>
          <w:rFonts w:ascii="Times New Roman" w:hAnsi="Times New Roman" w:cs="Times New Roman"/>
          <w:b/>
          <w:i/>
          <w:sz w:val="20"/>
          <w:szCs w:val="20"/>
        </w:rPr>
      </w:pPr>
    </w:p>
    <w:p w14:paraId="65A869D1" w14:textId="77777777" w:rsidR="006D7D04" w:rsidRPr="001D69AA" w:rsidRDefault="006D7D04" w:rsidP="006D7D04">
      <w:pPr>
        <w:spacing w:after="0" w:line="240" w:lineRule="auto"/>
        <w:rPr>
          <w:rFonts w:ascii="Times New Roman" w:hAnsi="Times New Roman" w:cs="Times New Roman"/>
          <w:b/>
          <w:i/>
          <w:sz w:val="20"/>
          <w:szCs w:val="20"/>
        </w:rPr>
      </w:pPr>
      <w:r w:rsidRPr="001D69AA">
        <w:rPr>
          <w:rFonts w:ascii="Times New Roman" w:hAnsi="Times New Roman" w:cs="Times New Roman"/>
          <w:b/>
          <w:i/>
          <w:sz w:val="20"/>
          <w:szCs w:val="20"/>
        </w:rPr>
        <w:t>Gross Profit</w:t>
      </w:r>
    </w:p>
    <w:p w14:paraId="08F05CAF" w14:textId="77777777" w:rsidR="006D7D04" w:rsidRPr="001D69AA" w:rsidRDefault="006D7D04" w:rsidP="006D7D04">
      <w:pPr>
        <w:spacing w:after="0" w:line="240" w:lineRule="auto"/>
        <w:rPr>
          <w:rFonts w:ascii="Times New Roman" w:hAnsi="Times New Roman" w:cs="Times New Roman"/>
          <w:b/>
          <w:i/>
          <w:sz w:val="20"/>
          <w:szCs w:val="20"/>
        </w:rPr>
      </w:pPr>
    </w:p>
    <w:p w14:paraId="08204C51" w14:textId="303528EA" w:rsidR="006D7D04" w:rsidRDefault="006D7D04" w:rsidP="006D7D04">
      <w:pPr>
        <w:spacing w:after="0" w:line="240" w:lineRule="auto"/>
        <w:jc w:val="both"/>
        <w:rPr>
          <w:rFonts w:ascii="Times New Roman" w:hAnsi="Times New Roman" w:cs="Times New Roman"/>
          <w:sz w:val="20"/>
          <w:szCs w:val="20"/>
        </w:rPr>
      </w:pPr>
      <w:r w:rsidRPr="001D69AA">
        <w:rPr>
          <w:rFonts w:ascii="Times New Roman" w:hAnsi="Times New Roman" w:cs="Times New Roman"/>
          <w:sz w:val="20"/>
          <w:szCs w:val="20"/>
        </w:rPr>
        <w:t xml:space="preserve">The </w:t>
      </w:r>
      <w:r>
        <w:rPr>
          <w:rFonts w:ascii="Times New Roman" w:hAnsi="Times New Roman" w:cs="Times New Roman"/>
          <w:sz w:val="20"/>
          <w:szCs w:val="20"/>
        </w:rPr>
        <w:t>Company</w:t>
      </w:r>
      <w:r w:rsidRPr="001D69AA">
        <w:rPr>
          <w:rFonts w:ascii="Times New Roman" w:hAnsi="Times New Roman" w:cs="Times New Roman"/>
          <w:sz w:val="20"/>
          <w:szCs w:val="20"/>
        </w:rPr>
        <w:t xml:space="preserve"> generated </w:t>
      </w:r>
      <w:r w:rsidR="00A806C7">
        <w:rPr>
          <w:rFonts w:ascii="Times New Roman" w:hAnsi="Times New Roman" w:cs="Times New Roman"/>
          <w:sz w:val="20"/>
          <w:szCs w:val="20"/>
        </w:rPr>
        <w:t>net interest income</w:t>
      </w:r>
      <w:r w:rsidR="00496171">
        <w:rPr>
          <w:rFonts w:ascii="Times New Roman" w:hAnsi="Times New Roman" w:cs="Times New Roman"/>
          <w:sz w:val="20"/>
          <w:szCs w:val="20"/>
        </w:rPr>
        <w:t xml:space="preserve"> </w:t>
      </w:r>
      <w:r w:rsidRPr="009C664B">
        <w:rPr>
          <w:rFonts w:ascii="Times New Roman" w:hAnsi="Times New Roman" w:cs="Times New Roman"/>
          <w:sz w:val="20"/>
          <w:szCs w:val="20"/>
        </w:rPr>
        <w:t>of $</w:t>
      </w:r>
      <w:r w:rsidR="00A806C7" w:rsidRPr="00A806C7">
        <w:rPr>
          <w:rFonts w:ascii="Times New Roman" w:hAnsi="Times New Roman" w:cs="Times New Roman"/>
          <w:sz w:val="20"/>
          <w:szCs w:val="20"/>
        </w:rPr>
        <w:t>96,401</w:t>
      </w:r>
      <w:r w:rsidRPr="00D7548F">
        <w:rPr>
          <w:rFonts w:ascii="Times New Roman" w:hAnsi="Times New Roman" w:cs="Times New Roman"/>
          <w:sz w:val="20"/>
          <w:szCs w:val="20"/>
        </w:rPr>
        <w:t xml:space="preserve"> for the </w:t>
      </w:r>
      <w:r w:rsidR="00D21B97">
        <w:rPr>
          <w:rFonts w:ascii="Times New Roman" w:hAnsi="Times New Roman" w:cs="Times New Roman"/>
          <w:sz w:val="20"/>
          <w:szCs w:val="20"/>
        </w:rPr>
        <w:t xml:space="preserve">six months </w:t>
      </w:r>
      <w:r w:rsidR="00BF77BD" w:rsidRPr="00D7548F">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BF77BD" w:rsidRPr="00D7548F">
        <w:rPr>
          <w:rFonts w:ascii="Times New Roman" w:hAnsi="Times New Roman" w:cs="Times New Roman"/>
          <w:sz w:val="20"/>
          <w:szCs w:val="20"/>
        </w:rPr>
        <w:t>, 2021</w:t>
      </w:r>
      <w:r w:rsidRPr="001D69AA">
        <w:rPr>
          <w:rFonts w:ascii="Times New Roman" w:hAnsi="Times New Roman" w:cs="Times New Roman"/>
          <w:sz w:val="20"/>
          <w:szCs w:val="20"/>
        </w:rPr>
        <w:t xml:space="preserve"> (20</w:t>
      </w:r>
      <w:r w:rsidR="00BF77BD">
        <w:rPr>
          <w:rFonts w:ascii="Times New Roman" w:hAnsi="Times New Roman" w:cs="Times New Roman"/>
          <w:sz w:val="20"/>
          <w:szCs w:val="20"/>
        </w:rPr>
        <w:t>20</w:t>
      </w:r>
      <w:r w:rsidRPr="001D69AA">
        <w:rPr>
          <w:rFonts w:ascii="Times New Roman" w:hAnsi="Times New Roman" w:cs="Times New Roman"/>
          <w:sz w:val="20"/>
          <w:szCs w:val="20"/>
        </w:rPr>
        <w:t xml:space="preserve"> –</w:t>
      </w:r>
      <w:r w:rsidR="00496171">
        <w:rPr>
          <w:rFonts w:ascii="Times New Roman" w:hAnsi="Times New Roman" w:cs="Times New Roman"/>
          <w:sz w:val="20"/>
          <w:szCs w:val="20"/>
        </w:rPr>
        <w:t xml:space="preserve"> </w:t>
      </w:r>
      <w:r w:rsidRPr="001D69AA">
        <w:rPr>
          <w:rFonts w:ascii="Times New Roman" w:hAnsi="Times New Roman" w:cs="Times New Roman"/>
          <w:sz w:val="20"/>
          <w:szCs w:val="20"/>
        </w:rPr>
        <w:t>$</w:t>
      </w:r>
      <w:r w:rsidR="00A806C7" w:rsidRPr="00A806C7">
        <w:rPr>
          <w:rFonts w:ascii="Times New Roman" w:hAnsi="Times New Roman" w:cs="Times New Roman"/>
          <w:sz w:val="20"/>
          <w:szCs w:val="20"/>
        </w:rPr>
        <w:t>127,809</w:t>
      </w:r>
      <w:r w:rsidRPr="001D69AA">
        <w:rPr>
          <w:rFonts w:ascii="Times New Roman" w:hAnsi="Times New Roman" w:cs="Times New Roman"/>
          <w:sz w:val="20"/>
          <w:szCs w:val="20"/>
        </w:rPr>
        <w:t xml:space="preserve">).  </w:t>
      </w:r>
      <w:r w:rsidRPr="00FC7420">
        <w:rPr>
          <w:rFonts w:ascii="Times New Roman" w:hAnsi="Times New Roman" w:cs="Times New Roman"/>
          <w:sz w:val="20"/>
          <w:szCs w:val="20"/>
        </w:rPr>
        <w:t xml:space="preserve">The </w:t>
      </w:r>
      <w:r w:rsidR="00D7548F" w:rsidRPr="00FC7420">
        <w:rPr>
          <w:rFonts w:ascii="Times New Roman" w:hAnsi="Times New Roman" w:cs="Times New Roman"/>
          <w:sz w:val="20"/>
          <w:szCs w:val="20"/>
        </w:rPr>
        <w:t>de</w:t>
      </w:r>
      <w:r w:rsidRPr="00FC7420">
        <w:rPr>
          <w:rFonts w:ascii="Times New Roman" w:hAnsi="Times New Roman" w:cs="Times New Roman"/>
          <w:sz w:val="20"/>
          <w:szCs w:val="20"/>
        </w:rPr>
        <w:t xml:space="preserve">crease of </w:t>
      </w:r>
      <w:r w:rsidRPr="00D57541">
        <w:rPr>
          <w:rFonts w:ascii="Times New Roman" w:hAnsi="Times New Roman" w:cs="Times New Roman"/>
          <w:sz w:val="20"/>
          <w:szCs w:val="20"/>
        </w:rPr>
        <w:t>$</w:t>
      </w:r>
      <w:r w:rsidR="00A806C7">
        <w:rPr>
          <w:rFonts w:ascii="Times New Roman" w:hAnsi="Times New Roman" w:cs="Times New Roman"/>
          <w:sz w:val="20"/>
          <w:szCs w:val="20"/>
        </w:rPr>
        <w:t>33,085</w:t>
      </w:r>
      <w:r w:rsidRPr="00FC7420">
        <w:rPr>
          <w:rFonts w:ascii="Times New Roman" w:hAnsi="Times New Roman" w:cs="Times New Roman"/>
          <w:sz w:val="20"/>
          <w:szCs w:val="20"/>
        </w:rPr>
        <w:t xml:space="preserve"> is</w:t>
      </w:r>
      <w:r w:rsidR="00496171">
        <w:rPr>
          <w:rFonts w:ascii="Times New Roman" w:hAnsi="Times New Roman" w:cs="Times New Roman"/>
          <w:sz w:val="20"/>
          <w:szCs w:val="20"/>
        </w:rPr>
        <w:t xml:space="preserve"> largely</w:t>
      </w:r>
      <w:r w:rsidRPr="00FC7420">
        <w:rPr>
          <w:rFonts w:ascii="Times New Roman" w:hAnsi="Times New Roman" w:cs="Times New Roman"/>
          <w:sz w:val="20"/>
          <w:szCs w:val="20"/>
        </w:rPr>
        <w:t xml:space="preserve"> correlated to the </w:t>
      </w:r>
      <w:r w:rsidR="00D57541">
        <w:rPr>
          <w:rFonts w:ascii="Times New Roman" w:hAnsi="Times New Roman" w:cs="Times New Roman"/>
          <w:sz w:val="20"/>
          <w:szCs w:val="20"/>
        </w:rPr>
        <w:t xml:space="preserve">decreased interest revenue </w:t>
      </w:r>
      <w:r w:rsidR="002C5A19">
        <w:rPr>
          <w:rFonts w:ascii="Times New Roman" w:hAnsi="Times New Roman" w:cs="Times New Roman"/>
          <w:sz w:val="20"/>
          <w:szCs w:val="20"/>
        </w:rPr>
        <w:t>generated from a lower loan portfolio compared to the prior period</w:t>
      </w:r>
      <w:r w:rsidR="00496171">
        <w:rPr>
          <w:rFonts w:ascii="Times New Roman" w:hAnsi="Times New Roman" w:cs="Times New Roman"/>
          <w:sz w:val="20"/>
          <w:szCs w:val="20"/>
        </w:rPr>
        <w:t xml:space="preserve">. </w:t>
      </w:r>
    </w:p>
    <w:p w14:paraId="5A1C6F61" w14:textId="77777777" w:rsidR="006D7D04" w:rsidRPr="003B5DED" w:rsidRDefault="006D7D04" w:rsidP="006D7D04">
      <w:pPr>
        <w:spacing w:after="0" w:line="240" w:lineRule="auto"/>
        <w:rPr>
          <w:rFonts w:ascii="Times New Roman" w:hAnsi="Times New Roman" w:cs="Times New Roman"/>
          <w:b/>
          <w:i/>
          <w:sz w:val="20"/>
          <w:szCs w:val="20"/>
          <w:highlight w:val="yellow"/>
        </w:rPr>
      </w:pPr>
    </w:p>
    <w:p w14:paraId="4FB8CA57" w14:textId="77777777" w:rsidR="002C5A19" w:rsidRDefault="002C5A19" w:rsidP="006D7D04">
      <w:pPr>
        <w:spacing w:after="0" w:line="240" w:lineRule="auto"/>
        <w:jc w:val="both"/>
        <w:rPr>
          <w:rFonts w:ascii="Times New Roman" w:hAnsi="Times New Roman" w:cs="Times New Roman"/>
          <w:b/>
          <w:i/>
          <w:sz w:val="20"/>
          <w:szCs w:val="20"/>
        </w:rPr>
      </w:pPr>
    </w:p>
    <w:p w14:paraId="26AD0037" w14:textId="77777777" w:rsidR="002C5A19" w:rsidRDefault="002C5A19" w:rsidP="006D7D04">
      <w:pPr>
        <w:spacing w:after="0" w:line="240" w:lineRule="auto"/>
        <w:jc w:val="both"/>
        <w:rPr>
          <w:rFonts w:ascii="Times New Roman" w:hAnsi="Times New Roman" w:cs="Times New Roman"/>
          <w:b/>
          <w:i/>
          <w:sz w:val="20"/>
          <w:szCs w:val="20"/>
        </w:rPr>
      </w:pPr>
    </w:p>
    <w:p w14:paraId="0FE9BFAC" w14:textId="3D3FEC2D" w:rsidR="006D7D04" w:rsidRPr="001D534D" w:rsidRDefault="006D7D04" w:rsidP="006D7D04">
      <w:pPr>
        <w:spacing w:after="0" w:line="240" w:lineRule="auto"/>
        <w:jc w:val="both"/>
        <w:rPr>
          <w:rFonts w:ascii="Times New Roman" w:hAnsi="Times New Roman" w:cs="Times New Roman"/>
          <w:b/>
          <w:i/>
          <w:sz w:val="20"/>
          <w:szCs w:val="20"/>
        </w:rPr>
      </w:pPr>
      <w:r w:rsidRPr="001D534D">
        <w:rPr>
          <w:rFonts w:ascii="Times New Roman" w:hAnsi="Times New Roman" w:cs="Times New Roman"/>
          <w:b/>
          <w:i/>
          <w:sz w:val="20"/>
          <w:szCs w:val="20"/>
        </w:rPr>
        <w:t>Operating Expenses</w:t>
      </w:r>
    </w:p>
    <w:p w14:paraId="156ADE63" w14:textId="77777777" w:rsidR="006D7D04" w:rsidRPr="001D534D" w:rsidRDefault="006D7D04" w:rsidP="006D7D04">
      <w:pPr>
        <w:spacing w:after="0" w:line="240" w:lineRule="auto"/>
        <w:jc w:val="both"/>
        <w:rPr>
          <w:rFonts w:ascii="Times New Roman" w:hAnsi="Times New Roman" w:cs="Times New Roman"/>
          <w:sz w:val="20"/>
          <w:szCs w:val="20"/>
        </w:rPr>
      </w:pPr>
    </w:p>
    <w:p w14:paraId="3FE23895" w14:textId="04FB0A05" w:rsidR="006D7D04" w:rsidRPr="001D534D" w:rsidRDefault="006D7D04" w:rsidP="006D7D04">
      <w:pPr>
        <w:spacing w:after="0" w:line="240" w:lineRule="auto"/>
        <w:jc w:val="both"/>
        <w:rPr>
          <w:rFonts w:ascii="Times New Roman" w:hAnsi="Times New Roman" w:cs="Times New Roman"/>
          <w:sz w:val="20"/>
          <w:szCs w:val="20"/>
        </w:rPr>
      </w:pPr>
      <w:r w:rsidRPr="00CE5F89">
        <w:rPr>
          <w:rFonts w:ascii="Times New Roman" w:hAnsi="Times New Roman" w:cs="Times New Roman"/>
          <w:sz w:val="20"/>
          <w:szCs w:val="20"/>
        </w:rPr>
        <w:t xml:space="preserve">Operating expenses for the </w:t>
      </w:r>
      <w:r w:rsidR="00D21B97">
        <w:rPr>
          <w:rFonts w:ascii="Times New Roman" w:hAnsi="Times New Roman" w:cs="Times New Roman"/>
          <w:sz w:val="20"/>
          <w:szCs w:val="20"/>
        </w:rPr>
        <w:t xml:space="preserve">six months </w:t>
      </w:r>
      <w:r w:rsidRPr="00CE5F89">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BF77BD" w:rsidRPr="00CE5F89">
        <w:rPr>
          <w:rFonts w:ascii="Times New Roman" w:hAnsi="Times New Roman" w:cs="Times New Roman"/>
          <w:sz w:val="20"/>
          <w:szCs w:val="20"/>
        </w:rPr>
        <w:t xml:space="preserve">, </w:t>
      </w:r>
      <w:proofErr w:type="gramStart"/>
      <w:r w:rsidR="00BF77BD" w:rsidRPr="00CE5F89">
        <w:rPr>
          <w:rFonts w:ascii="Times New Roman" w:hAnsi="Times New Roman" w:cs="Times New Roman"/>
          <w:sz w:val="20"/>
          <w:szCs w:val="20"/>
        </w:rPr>
        <w:t>2021</w:t>
      </w:r>
      <w:proofErr w:type="gramEnd"/>
      <w:r w:rsidR="00BF77BD" w:rsidRPr="00CE5F89">
        <w:rPr>
          <w:rFonts w:ascii="Times New Roman" w:hAnsi="Times New Roman" w:cs="Times New Roman"/>
          <w:sz w:val="20"/>
          <w:szCs w:val="20"/>
        </w:rPr>
        <w:t xml:space="preserve"> </w:t>
      </w:r>
      <w:r w:rsidRPr="00CE5F89">
        <w:rPr>
          <w:rFonts w:ascii="Times New Roman" w:hAnsi="Times New Roman" w:cs="Times New Roman"/>
          <w:sz w:val="20"/>
          <w:szCs w:val="20"/>
        </w:rPr>
        <w:t xml:space="preserve">increased to </w:t>
      </w:r>
      <w:r w:rsidRPr="00D57541">
        <w:rPr>
          <w:rFonts w:ascii="Times New Roman" w:hAnsi="Times New Roman" w:cs="Times New Roman"/>
          <w:sz w:val="20"/>
          <w:szCs w:val="20"/>
        </w:rPr>
        <w:t>$</w:t>
      </w:r>
      <w:r w:rsidR="00D57541" w:rsidRPr="00D57541">
        <w:rPr>
          <w:rFonts w:ascii="Times New Roman" w:hAnsi="Times New Roman" w:cs="Times New Roman"/>
          <w:sz w:val="20"/>
          <w:szCs w:val="20"/>
        </w:rPr>
        <w:t>2,</w:t>
      </w:r>
      <w:r w:rsidR="009A307E">
        <w:rPr>
          <w:rFonts w:ascii="Times New Roman" w:hAnsi="Times New Roman" w:cs="Times New Roman"/>
          <w:sz w:val="20"/>
          <w:szCs w:val="20"/>
        </w:rPr>
        <w:t xml:space="preserve">840,905 </w:t>
      </w:r>
      <w:r w:rsidRPr="00CE5F89">
        <w:rPr>
          <w:rFonts w:ascii="Times New Roman" w:hAnsi="Times New Roman" w:cs="Times New Roman"/>
          <w:sz w:val="20"/>
          <w:szCs w:val="20"/>
        </w:rPr>
        <w:t xml:space="preserve">as compared to </w:t>
      </w:r>
      <w:r w:rsidR="00BF77BD" w:rsidRPr="00CE5F89">
        <w:rPr>
          <w:rFonts w:ascii="Times New Roman" w:hAnsi="Times New Roman" w:cs="Times New Roman"/>
          <w:sz w:val="20"/>
          <w:szCs w:val="20"/>
        </w:rPr>
        <w:t>$</w:t>
      </w:r>
      <w:r w:rsidR="006A4DDD">
        <w:rPr>
          <w:rFonts w:ascii="Times New Roman" w:hAnsi="Times New Roman" w:cs="Times New Roman"/>
          <w:sz w:val="20"/>
          <w:szCs w:val="20"/>
        </w:rPr>
        <w:t>1,782,357</w:t>
      </w:r>
      <w:r w:rsidR="00BF77BD" w:rsidRPr="00CE5F89">
        <w:rPr>
          <w:rFonts w:ascii="Times New Roman" w:hAnsi="Times New Roman" w:cs="Times New Roman"/>
          <w:sz w:val="20"/>
          <w:szCs w:val="20"/>
        </w:rPr>
        <w:t xml:space="preserve"> </w:t>
      </w:r>
      <w:r w:rsidRPr="00CE5F89">
        <w:rPr>
          <w:rFonts w:ascii="Times New Roman" w:hAnsi="Times New Roman" w:cs="Times New Roman"/>
          <w:sz w:val="20"/>
          <w:szCs w:val="20"/>
        </w:rPr>
        <w:t>for the</w:t>
      </w:r>
      <w:r w:rsidRPr="001D534D">
        <w:rPr>
          <w:rFonts w:ascii="Times New Roman" w:hAnsi="Times New Roman" w:cs="Times New Roman"/>
          <w:sz w:val="20"/>
          <w:szCs w:val="20"/>
        </w:rPr>
        <w:t xml:space="preserve"> </w:t>
      </w:r>
      <w:r w:rsidR="00D21B97">
        <w:rPr>
          <w:rFonts w:ascii="Times New Roman" w:hAnsi="Times New Roman" w:cs="Times New Roman"/>
          <w:sz w:val="20"/>
          <w:szCs w:val="20"/>
        </w:rPr>
        <w:t xml:space="preserve">six months </w:t>
      </w:r>
      <w:r w:rsidR="009E2275">
        <w:rPr>
          <w:rFonts w:ascii="Times New Roman" w:hAnsi="Times New Roman" w:cs="Times New Roman"/>
          <w:sz w:val="20"/>
          <w:szCs w:val="20"/>
        </w:rPr>
        <w:t>ended</w:t>
      </w:r>
      <w:r w:rsidRPr="001D534D">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BF77BD">
        <w:rPr>
          <w:rFonts w:ascii="Times New Roman" w:hAnsi="Times New Roman" w:cs="Times New Roman"/>
          <w:sz w:val="20"/>
          <w:szCs w:val="20"/>
        </w:rPr>
        <w:t>, 2020</w:t>
      </w:r>
      <w:r w:rsidRPr="001D534D">
        <w:rPr>
          <w:rFonts w:ascii="Times New Roman" w:hAnsi="Times New Roman" w:cs="Times New Roman"/>
          <w:sz w:val="20"/>
          <w:szCs w:val="20"/>
        </w:rPr>
        <w:t xml:space="preserve">. For the </w:t>
      </w:r>
      <w:r w:rsidR="009E2275">
        <w:rPr>
          <w:rFonts w:ascii="Times New Roman" w:hAnsi="Times New Roman" w:cs="Times New Roman"/>
          <w:sz w:val="20"/>
          <w:szCs w:val="20"/>
        </w:rPr>
        <w:t>period ended</w:t>
      </w:r>
      <w:r w:rsidRPr="001D534D">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Pr>
          <w:rFonts w:ascii="Times New Roman" w:hAnsi="Times New Roman" w:cs="Times New Roman"/>
          <w:sz w:val="20"/>
          <w:szCs w:val="20"/>
        </w:rPr>
        <w:t>, 2021</w:t>
      </w:r>
      <w:r w:rsidRPr="001D534D">
        <w:rPr>
          <w:rFonts w:ascii="Times New Roman" w:hAnsi="Times New Roman" w:cs="Times New Roman"/>
          <w:sz w:val="20"/>
          <w:szCs w:val="20"/>
        </w:rPr>
        <w:t xml:space="preserve">, the </w:t>
      </w:r>
      <w:r>
        <w:rPr>
          <w:rFonts w:ascii="Times New Roman" w:hAnsi="Times New Roman" w:cs="Times New Roman"/>
          <w:sz w:val="20"/>
          <w:szCs w:val="20"/>
        </w:rPr>
        <w:t>Company</w:t>
      </w:r>
      <w:r w:rsidRPr="001D534D">
        <w:rPr>
          <w:rFonts w:ascii="Times New Roman" w:hAnsi="Times New Roman" w:cs="Times New Roman"/>
          <w:sz w:val="20"/>
          <w:szCs w:val="20"/>
        </w:rPr>
        <w:t xml:space="preserve"> had the following operating expenses:</w:t>
      </w:r>
    </w:p>
    <w:p w14:paraId="64A183F1" w14:textId="77777777" w:rsidR="006D7D04" w:rsidRPr="003B5DED" w:rsidRDefault="006D7D04" w:rsidP="006D7D04">
      <w:pPr>
        <w:spacing w:after="0" w:line="240" w:lineRule="auto"/>
        <w:jc w:val="both"/>
        <w:rPr>
          <w:rFonts w:ascii="Times New Roman" w:hAnsi="Times New Roman" w:cs="Times New Roman"/>
          <w:sz w:val="20"/>
          <w:szCs w:val="20"/>
          <w:highlight w:val="yellow"/>
        </w:rPr>
      </w:pPr>
    </w:p>
    <w:p w14:paraId="234FB042" w14:textId="263E87BF" w:rsidR="006D7D04" w:rsidRPr="00EB1E94" w:rsidRDefault="006D7D04" w:rsidP="006D7D04">
      <w:pPr>
        <w:pStyle w:val="ListParagraph"/>
        <w:numPr>
          <w:ilvl w:val="0"/>
          <w:numId w:val="2"/>
        </w:numPr>
        <w:spacing w:after="0" w:line="240" w:lineRule="auto"/>
        <w:contextualSpacing w:val="0"/>
        <w:jc w:val="both"/>
        <w:rPr>
          <w:rFonts w:ascii="Times New Roman" w:hAnsi="Times New Roman" w:cs="Times New Roman"/>
          <w:sz w:val="20"/>
          <w:szCs w:val="20"/>
        </w:rPr>
      </w:pPr>
      <w:r w:rsidRPr="0011133F">
        <w:rPr>
          <w:rFonts w:ascii="Times New Roman" w:hAnsi="Times New Roman" w:cs="Times New Roman"/>
          <w:sz w:val="20"/>
          <w:szCs w:val="20"/>
        </w:rPr>
        <w:t xml:space="preserve">administration costs </w:t>
      </w:r>
      <w:r w:rsidRPr="00D57541">
        <w:rPr>
          <w:rFonts w:ascii="Times New Roman" w:hAnsi="Times New Roman" w:cs="Times New Roman"/>
          <w:sz w:val="20"/>
          <w:szCs w:val="20"/>
        </w:rPr>
        <w:t>of $</w:t>
      </w:r>
      <w:r w:rsidR="009A307E">
        <w:rPr>
          <w:rFonts w:ascii="Times New Roman" w:hAnsi="Times New Roman" w:cs="Times New Roman"/>
          <w:sz w:val="20"/>
          <w:szCs w:val="20"/>
        </w:rPr>
        <w:t xml:space="preserve">876,443 </w:t>
      </w:r>
      <w:r w:rsidRPr="00583FA2">
        <w:rPr>
          <w:rFonts w:ascii="Times New Roman" w:hAnsi="Times New Roman" w:cs="Times New Roman"/>
          <w:sz w:val="20"/>
          <w:szCs w:val="20"/>
        </w:rPr>
        <w:t>(20</w:t>
      </w:r>
      <w:r w:rsidR="00BF77BD">
        <w:rPr>
          <w:rFonts w:ascii="Times New Roman" w:hAnsi="Times New Roman" w:cs="Times New Roman"/>
          <w:sz w:val="20"/>
          <w:szCs w:val="20"/>
        </w:rPr>
        <w:t>20</w:t>
      </w:r>
      <w:r w:rsidRPr="00583FA2">
        <w:rPr>
          <w:rFonts w:ascii="Times New Roman" w:hAnsi="Times New Roman" w:cs="Times New Roman"/>
          <w:sz w:val="20"/>
          <w:szCs w:val="20"/>
        </w:rPr>
        <w:t xml:space="preserve"> - $</w:t>
      </w:r>
      <w:r w:rsidR="00A806C7">
        <w:rPr>
          <w:rFonts w:ascii="Times New Roman" w:hAnsi="Times New Roman" w:cs="Times New Roman"/>
          <w:sz w:val="20"/>
          <w:szCs w:val="20"/>
        </w:rPr>
        <w:t>247,956</w:t>
      </w:r>
      <w:r w:rsidRPr="00583FA2">
        <w:rPr>
          <w:rFonts w:ascii="Times New Roman" w:hAnsi="Times New Roman" w:cs="Times New Roman"/>
          <w:sz w:val="20"/>
          <w:szCs w:val="20"/>
        </w:rPr>
        <w:t>) which increased from the prior year due to the growth of the operations</w:t>
      </w:r>
      <w:r>
        <w:rPr>
          <w:rFonts w:ascii="Times New Roman" w:hAnsi="Times New Roman" w:cs="Times New Roman"/>
          <w:sz w:val="20"/>
          <w:szCs w:val="20"/>
        </w:rPr>
        <w:t>,</w:t>
      </w:r>
      <w:r w:rsidR="002C5A19">
        <w:rPr>
          <w:rFonts w:ascii="Times New Roman" w:hAnsi="Times New Roman" w:cs="Times New Roman"/>
          <w:sz w:val="20"/>
          <w:szCs w:val="20"/>
        </w:rPr>
        <w:t xml:space="preserve"> including </w:t>
      </w:r>
      <w:proofErr w:type="gramStart"/>
      <w:r w:rsidR="002C5A19">
        <w:rPr>
          <w:rFonts w:ascii="Times New Roman" w:hAnsi="Times New Roman" w:cs="Times New Roman"/>
          <w:sz w:val="20"/>
          <w:szCs w:val="20"/>
        </w:rPr>
        <w:t>entering into</w:t>
      </w:r>
      <w:proofErr w:type="gramEnd"/>
      <w:r w:rsidR="002C5A19">
        <w:rPr>
          <w:rFonts w:ascii="Times New Roman" w:hAnsi="Times New Roman" w:cs="Times New Roman"/>
          <w:sz w:val="20"/>
          <w:szCs w:val="20"/>
        </w:rPr>
        <w:t xml:space="preserve"> several reseller and licensing arrangements; and incurring administration costs from the operations of </w:t>
      </w:r>
      <w:proofErr w:type="spellStart"/>
      <w:r w:rsidR="002C5A19">
        <w:rPr>
          <w:rFonts w:ascii="Times New Roman" w:hAnsi="Times New Roman" w:cs="Times New Roman"/>
          <w:sz w:val="20"/>
          <w:szCs w:val="20"/>
        </w:rPr>
        <w:t>Inverite</w:t>
      </w:r>
      <w:proofErr w:type="spellEnd"/>
      <w:r w:rsidR="002C5A19">
        <w:rPr>
          <w:rFonts w:ascii="Times New Roman" w:hAnsi="Times New Roman" w:cs="Times New Roman"/>
          <w:sz w:val="20"/>
          <w:szCs w:val="20"/>
        </w:rPr>
        <w:t>,</w:t>
      </w:r>
      <w:r>
        <w:rPr>
          <w:rFonts w:ascii="Times New Roman" w:hAnsi="Times New Roman" w:cs="Times New Roman"/>
          <w:sz w:val="20"/>
          <w:szCs w:val="20"/>
        </w:rPr>
        <w:t xml:space="preserve"> </w:t>
      </w:r>
      <w:r w:rsidR="00473DEB">
        <w:rPr>
          <w:rFonts w:ascii="Times New Roman" w:hAnsi="Times New Roman" w:cs="Times New Roman"/>
          <w:sz w:val="20"/>
          <w:szCs w:val="20"/>
        </w:rPr>
        <w:t xml:space="preserve">as the Company works on expanding its product </w:t>
      </w:r>
      <w:r w:rsidR="002C5A19">
        <w:rPr>
          <w:rFonts w:ascii="Times New Roman" w:hAnsi="Times New Roman" w:cs="Times New Roman"/>
          <w:sz w:val="20"/>
          <w:szCs w:val="20"/>
        </w:rPr>
        <w:t xml:space="preserve">and service </w:t>
      </w:r>
      <w:r w:rsidR="00473DEB">
        <w:rPr>
          <w:rFonts w:ascii="Times New Roman" w:hAnsi="Times New Roman" w:cs="Times New Roman"/>
          <w:sz w:val="20"/>
          <w:szCs w:val="20"/>
        </w:rPr>
        <w:t>offerings</w:t>
      </w:r>
      <w:r>
        <w:rPr>
          <w:rFonts w:ascii="Times New Roman" w:hAnsi="Times New Roman" w:cs="Times New Roman"/>
          <w:sz w:val="20"/>
          <w:szCs w:val="20"/>
        </w:rPr>
        <w:t xml:space="preserve">.  </w:t>
      </w:r>
      <w:r w:rsidRPr="00152D99">
        <w:rPr>
          <w:rFonts w:ascii="Times New Roman" w:hAnsi="Times New Roman" w:cs="Times New Roman"/>
          <w:sz w:val="20"/>
          <w:szCs w:val="20"/>
        </w:rPr>
        <w:t xml:space="preserve">Administration costs are largely comprised of office expenses, loan issuance costs, computer and </w:t>
      </w:r>
      <w:r>
        <w:rPr>
          <w:rFonts w:ascii="Times New Roman" w:hAnsi="Times New Roman" w:cs="Times New Roman"/>
          <w:sz w:val="20"/>
          <w:szCs w:val="20"/>
        </w:rPr>
        <w:t>technology</w:t>
      </w:r>
      <w:r w:rsidRPr="00152D99">
        <w:rPr>
          <w:rFonts w:ascii="Times New Roman" w:hAnsi="Times New Roman" w:cs="Times New Roman"/>
          <w:sz w:val="20"/>
          <w:szCs w:val="20"/>
        </w:rPr>
        <w:t xml:space="preserve"> expenses</w:t>
      </w:r>
      <w:r>
        <w:rPr>
          <w:rFonts w:ascii="Times New Roman" w:hAnsi="Times New Roman" w:cs="Times New Roman"/>
          <w:sz w:val="20"/>
          <w:szCs w:val="20"/>
        </w:rPr>
        <w:t>,</w:t>
      </w:r>
      <w:r w:rsidRPr="00152D99">
        <w:rPr>
          <w:rFonts w:ascii="Times New Roman" w:hAnsi="Times New Roman" w:cs="Times New Roman"/>
          <w:sz w:val="20"/>
          <w:szCs w:val="20"/>
        </w:rPr>
        <w:t xml:space="preserve"> </w:t>
      </w:r>
      <w:proofErr w:type="gramStart"/>
      <w:r w:rsidRPr="00152D99">
        <w:rPr>
          <w:rFonts w:ascii="Times New Roman" w:hAnsi="Times New Roman" w:cs="Times New Roman"/>
          <w:sz w:val="20"/>
          <w:szCs w:val="20"/>
        </w:rPr>
        <w:t>telephone</w:t>
      </w:r>
      <w:proofErr w:type="gramEnd"/>
      <w:r w:rsidRPr="00152D99">
        <w:rPr>
          <w:rFonts w:ascii="Times New Roman" w:hAnsi="Times New Roman" w:cs="Times New Roman"/>
          <w:sz w:val="20"/>
          <w:szCs w:val="20"/>
        </w:rPr>
        <w:t xml:space="preserve"> and utilities.</w:t>
      </w:r>
      <w:r w:rsidRPr="00C44EE0">
        <w:rPr>
          <w:rFonts w:ascii="Times New Roman" w:hAnsi="Times New Roman" w:cs="Times New Roman"/>
          <w:sz w:val="20"/>
          <w:szCs w:val="20"/>
        </w:rPr>
        <w:t xml:space="preserve"> </w:t>
      </w:r>
      <w:r w:rsidRPr="00EB1E94">
        <w:rPr>
          <w:rFonts w:ascii="Times New Roman" w:hAnsi="Times New Roman" w:cs="Times New Roman"/>
          <w:sz w:val="20"/>
          <w:szCs w:val="20"/>
        </w:rPr>
        <w:t xml:space="preserve"> </w:t>
      </w:r>
      <w:r w:rsidR="009B101D">
        <w:rPr>
          <w:rFonts w:ascii="Times New Roman" w:hAnsi="Times New Roman" w:cs="Times New Roman"/>
          <w:sz w:val="20"/>
          <w:szCs w:val="20"/>
        </w:rPr>
        <w:t xml:space="preserve"> </w:t>
      </w:r>
    </w:p>
    <w:p w14:paraId="4329A98B" w14:textId="77777777" w:rsidR="006D7D04" w:rsidRPr="003B5DED" w:rsidRDefault="006D7D04" w:rsidP="006D7D04">
      <w:pPr>
        <w:pStyle w:val="ListParagraph"/>
        <w:spacing w:after="0" w:line="240" w:lineRule="auto"/>
        <w:ind w:left="360"/>
        <w:contextualSpacing w:val="0"/>
        <w:jc w:val="both"/>
        <w:rPr>
          <w:rFonts w:ascii="Times New Roman" w:hAnsi="Times New Roman" w:cs="Times New Roman"/>
          <w:sz w:val="20"/>
          <w:szCs w:val="20"/>
          <w:highlight w:val="yellow"/>
        </w:rPr>
      </w:pPr>
    </w:p>
    <w:p w14:paraId="305A23F8" w14:textId="43DA1EAA" w:rsidR="006D7D04" w:rsidRDefault="006D7D04" w:rsidP="006D7D04">
      <w:pPr>
        <w:pStyle w:val="ListParagraph"/>
        <w:numPr>
          <w:ilvl w:val="0"/>
          <w:numId w:val="2"/>
        </w:numPr>
        <w:spacing w:after="0" w:line="240" w:lineRule="auto"/>
        <w:contextualSpacing w:val="0"/>
        <w:jc w:val="both"/>
        <w:rPr>
          <w:rFonts w:ascii="Times New Roman" w:hAnsi="Times New Roman" w:cs="Times New Roman"/>
          <w:sz w:val="20"/>
          <w:szCs w:val="20"/>
        </w:rPr>
      </w:pPr>
      <w:r w:rsidRPr="0011133F">
        <w:rPr>
          <w:rFonts w:ascii="Times New Roman" w:hAnsi="Times New Roman" w:cs="Times New Roman"/>
          <w:sz w:val="20"/>
          <w:szCs w:val="20"/>
        </w:rPr>
        <w:t xml:space="preserve">amortization </w:t>
      </w:r>
      <w:r w:rsidRPr="00D57541">
        <w:rPr>
          <w:rFonts w:ascii="Times New Roman" w:hAnsi="Times New Roman" w:cs="Times New Roman"/>
          <w:sz w:val="20"/>
          <w:szCs w:val="20"/>
        </w:rPr>
        <w:t>of $</w:t>
      </w:r>
      <w:r w:rsidR="00D57541" w:rsidRPr="00D57541">
        <w:rPr>
          <w:rFonts w:ascii="Times New Roman" w:hAnsi="Times New Roman" w:cs="Times New Roman"/>
          <w:sz w:val="20"/>
          <w:szCs w:val="20"/>
        </w:rPr>
        <w:t>89,</w:t>
      </w:r>
      <w:r w:rsidR="00D57541">
        <w:rPr>
          <w:rFonts w:ascii="Times New Roman" w:hAnsi="Times New Roman" w:cs="Times New Roman"/>
          <w:sz w:val="20"/>
          <w:szCs w:val="20"/>
        </w:rPr>
        <w:t>562</w:t>
      </w:r>
      <w:r w:rsidR="0011133F">
        <w:rPr>
          <w:rFonts w:ascii="Times New Roman" w:hAnsi="Times New Roman" w:cs="Times New Roman"/>
          <w:sz w:val="20"/>
          <w:szCs w:val="20"/>
        </w:rPr>
        <w:t xml:space="preserve"> </w:t>
      </w:r>
      <w:r w:rsidRPr="001D534D">
        <w:rPr>
          <w:rFonts w:ascii="Times New Roman" w:hAnsi="Times New Roman" w:cs="Times New Roman"/>
          <w:sz w:val="20"/>
          <w:szCs w:val="20"/>
        </w:rPr>
        <w:t>(20</w:t>
      </w:r>
      <w:r w:rsidR="00BF77BD">
        <w:rPr>
          <w:rFonts w:ascii="Times New Roman" w:hAnsi="Times New Roman" w:cs="Times New Roman"/>
          <w:sz w:val="20"/>
          <w:szCs w:val="20"/>
        </w:rPr>
        <w:t>20</w:t>
      </w:r>
      <w:r w:rsidRPr="001D534D">
        <w:rPr>
          <w:rFonts w:ascii="Times New Roman" w:hAnsi="Times New Roman" w:cs="Times New Roman"/>
          <w:sz w:val="20"/>
          <w:szCs w:val="20"/>
        </w:rPr>
        <w:t xml:space="preserve"> - $</w:t>
      </w:r>
      <w:r w:rsidR="00926258">
        <w:rPr>
          <w:rFonts w:ascii="Times New Roman" w:hAnsi="Times New Roman" w:cs="Times New Roman"/>
          <w:sz w:val="20"/>
          <w:szCs w:val="20"/>
        </w:rPr>
        <w:t>128,003</w:t>
      </w:r>
      <w:r w:rsidRPr="001D534D">
        <w:rPr>
          <w:rFonts w:ascii="Times New Roman" w:hAnsi="Times New Roman" w:cs="Times New Roman"/>
          <w:sz w:val="20"/>
          <w:szCs w:val="20"/>
        </w:rPr>
        <w:t xml:space="preserve">) which </w:t>
      </w:r>
      <w:r w:rsidR="0011133F">
        <w:rPr>
          <w:rFonts w:ascii="Times New Roman" w:hAnsi="Times New Roman" w:cs="Times New Roman"/>
          <w:sz w:val="20"/>
          <w:szCs w:val="20"/>
        </w:rPr>
        <w:t>decreased</w:t>
      </w:r>
      <w:r w:rsidRPr="001D534D">
        <w:rPr>
          <w:rFonts w:ascii="Times New Roman" w:hAnsi="Times New Roman" w:cs="Times New Roman"/>
          <w:sz w:val="20"/>
          <w:szCs w:val="20"/>
        </w:rPr>
        <w:t xml:space="preserve"> as the </w:t>
      </w:r>
      <w:r>
        <w:rPr>
          <w:rFonts w:ascii="Times New Roman" w:hAnsi="Times New Roman" w:cs="Times New Roman"/>
          <w:sz w:val="20"/>
          <w:szCs w:val="20"/>
        </w:rPr>
        <w:t>Company</w:t>
      </w:r>
      <w:r w:rsidR="0011133F">
        <w:rPr>
          <w:rFonts w:ascii="Times New Roman" w:hAnsi="Times New Roman" w:cs="Times New Roman"/>
          <w:sz w:val="20"/>
          <w:szCs w:val="20"/>
        </w:rPr>
        <w:t xml:space="preserve"> had minimal additions in 2021 and continues to amortize its internally</w:t>
      </w:r>
      <w:r w:rsidRPr="001D534D">
        <w:rPr>
          <w:rFonts w:ascii="Times New Roman" w:hAnsi="Times New Roman" w:cs="Times New Roman"/>
          <w:sz w:val="20"/>
          <w:szCs w:val="20"/>
        </w:rPr>
        <w:t xml:space="preserve"> </w:t>
      </w:r>
      <w:r>
        <w:rPr>
          <w:rFonts w:ascii="Times New Roman" w:hAnsi="Times New Roman" w:cs="Times New Roman"/>
          <w:sz w:val="20"/>
          <w:szCs w:val="20"/>
        </w:rPr>
        <w:t>develop</w:t>
      </w:r>
      <w:r w:rsidRPr="001D534D">
        <w:rPr>
          <w:rFonts w:ascii="Times New Roman" w:hAnsi="Times New Roman" w:cs="Times New Roman"/>
          <w:sz w:val="20"/>
          <w:szCs w:val="20"/>
        </w:rPr>
        <w:t>ed software</w:t>
      </w:r>
      <w:r w:rsidR="0011133F">
        <w:rPr>
          <w:rFonts w:ascii="Times New Roman" w:hAnsi="Times New Roman" w:cs="Times New Roman"/>
          <w:sz w:val="20"/>
          <w:szCs w:val="20"/>
        </w:rPr>
        <w:t xml:space="preserve">, </w:t>
      </w:r>
      <w:r w:rsidRPr="001D534D">
        <w:rPr>
          <w:rFonts w:ascii="Times New Roman" w:hAnsi="Times New Roman" w:cs="Times New Roman"/>
          <w:sz w:val="20"/>
          <w:szCs w:val="20"/>
        </w:rPr>
        <w:t xml:space="preserve">Score-Up software platform, </w:t>
      </w:r>
      <w:r w:rsidR="0011133F">
        <w:rPr>
          <w:rFonts w:ascii="Times New Roman" w:hAnsi="Times New Roman" w:cs="Times New Roman"/>
          <w:sz w:val="20"/>
          <w:szCs w:val="20"/>
        </w:rPr>
        <w:t>and depreciate</w:t>
      </w:r>
      <w:r w:rsidRPr="001D534D">
        <w:rPr>
          <w:rFonts w:ascii="Times New Roman" w:hAnsi="Times New Roman" w:cs="Times New Roman"/>
          <w:sz w:val="20"/>
          <w:szCs w:val="20"/>
        </w:rPr>
        <w:t xml:space="preserve"> </w:t>
      </w:r>
      <w:r w:rsidR="0011133F">
        <w:rPr>
          <w:rFonts w:ascii="Times New Roman" w:hAnsi="Times New Roman" w:cs="Times New Roman"/>
          <w:sz w:val="20"/>
          <w:szCs w:val="20"/>
        </w:rPr>
        <w:t>its</w:t>
      </w:r>
      <w:r w:rsidRPr="001D534D">
        <w:rPr>
          <w:rFonts w:ascii="Times New Roman" w:hAnsi="Times New Roman" w:cs="Times New Roman"/>
          <w:sz w:val="20"/>
          <w:szCs w:val="20"/>
        </w:rPr>
        <w:t xml:space="preserve"> office </w:t>
      </w:r>
      <w:r w:rsidR="0011133F">
        <w:rPr>
          <w:rFonts w:ascii="Times New Roman" w:hAnsi="Times New Roman" w:cs="Times New Roman"/>
          <w:sz w:val="20"/>
          <w:szCs w:val="20"/>
        </w:rPr>
        <w:t>lease. The Score-Up office lease was fully depreciated during 2020</w:t>
      </w:r>
      <w:r w:rsidR="00D57541">
        <w:rPr>
          <w:rFonts w:ascii="Times New Roman" w:hAnsi="Times New Roman" w:cs="Times New Roman"/>
          <w:sz w:val="20"/>
          <w:szCs w:val="20"/>
        </w:rPr>
        <w:t xml:space="preserve"> and the Marble office was subleased beginning May 1, 202</w:t>
      </w:r>
      <w:r w:rsidR="00524F55">
        <w:rPr>
          <w:rFonts w:ascii="Times New Roman" w:hAnsi="Times New Roman" w:cs="Times New Roman"/>
          <w:sz w:val="20"/>
          <w:szCs w:val="20"/>
        </w:rPr>
        <w:t xml:space="preserve">1, which resulted in a transfer of the right-of-use asset to the sublessee. </w:t>
      </w:r>
    </w:p>
    <w:p w14:paraId="5B3EF7EE" w14:textId="77777777" w:rsidR="002C5A19" w:rsidRPr="00F0696B" w:rsidRDefault="002C5A19" w:rsidP="00F0696B">
      <w:pPr>
        <w:pStyle w:val="ListParagraph"/>
        <w:rPr>
          <w:rFonts w:ascii="Times New Roman" w:hAnsi="Times New Roman" w:cs="Times New Roman"/>
          <w:sz w:val="20"/>
          <w:szCs w:val="20"/>
        </w:rPr>
      </w:pPr>
    </w:p>
    <w:p w14:paraId="21D74A02" w14:textId="2D155961" w:rsidR="002C5A19" w:rsidRDefault="00EE6DBB" w:rsidP="006D7D04">
      <w:pPr>
        <w:pStyle w:val="ListParagraph"/>
        <w:numPr>
          <w:ilvl w:val="0"/>
          <w:numId w:val="2"/>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c</w:t>
      </w:r>
      <w:r w:rsidR="002C5A19">
        <w:rPr>
          <w:rFonts w:ascii="Times New Roman" w:hAnsi="Times New Roman" w:cs="Times New Roman"/>
          <w:sz w:val="20"/>
          <w:szCs w:val="20"/>
        </w:rPr>
        <w:t>onsulting fees of $488,479 (2020 - $503,396)</w:t>
      </w:r>
      <w:r w:rsidR="00BF4450">
        <w:rPr>
          <w:rFonts w:ascii="Times New Roman" w:hAnsi="Times New Roman" w:cs="Times New Roman"/>
          <w:sz w:val="20"/>
          <w:szCs w:val="20"/>
        </w:rPr>
        <w:t xml:space="preserve"> decreased as the Company reduced its consulting group during the period.</w:t>
      </w:r>
    </w:p>
    <w:p w14:paraId="28826A39" w14:textId="77777777" w:rsidR="00EE6DBB" w:rsidRPr="00F0696B" w:rsidRDefault="00EE6DBB" w:rsidP="00F0696B">
      <w:pPr>
        <w:pStyle w:val="ListParagraph"/>
        <w:rPr>
          <w:rFonts w:ascii="Times New Roman" w:hAnsi="Times New Roman" w:cs="Times New Roman"/>
          <w:sz w:val="20"/>
          <w:szCs w:val="20"/>
        </w:rPr>
      </w:pPr>
    </w:p>
    <w:p w14:paraId="5ABD4A69" w14:textId="617509A2" w:rsidR="00EE6DBB" w:rsidRDefault="00EE6DBB" w:rsidP="00EE6DBB">
      <w:pPr>
        <w:pStyle w:val="ListParagraph"/>
        <w:numPr>
          <w:ilvl w:val="0"/>
          <w:numId w:val="2"/>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investor relations expense of $55,430 (2020 - $43,475) increased as the Company efforts to attract new investors.</w:t>
      </w:r>
    </w:p>
    <w:p w14:paraId="0D22BF35" w14:textId="77777777" w:rsidR="006D7D04" w:rsidRPr="003B5DED" w:rsidRDefault="006D7D04" w:rsidP="006D7D04">
      <w:pPr>
        <w:pStyle w:val="ListParagraph"/>
        <w:spacing w:after="0" w:line="240" w:lineRule="auto"/>
        <w:rPr>
          <w:rFonts w:ascii="Times New Roman" w:hAnsi="Times New Roman" w:cs="Times New Roman"/>
          <w:sz w:val="20"/>
          <w:szCs w:val="20"/>
          <w:highlight w:val="yellow"/>
        </w:rPr>
      </w:pPr>
    </w:p>
    <w:p w14:paraId="64044DCD" w14:textId="5A48C9D7" w:rsidR="006D7D04" w:rsidRDefault="006D7D04">
      <w:pPr>
        <w:pStyle w:val="ListParagraph"/>
        <w:numPr>
          <w:ilvl w:val="0"/>
          <w:numId w:val="2"/>
        </w:numPr>
        <w:spacing w:after="0" w:line="240" w:lineRule="auto"/>
        <w:contextualSpacing w:val="0"/>
        <w:jc w:val="both"/>
        <w:rPr>
          <w:rFonts w:ascii="Times New Roman" w:hAnsi="Times New Roman" w:cs="Times New Roman"/>
          <w:sz w:val="20"/>
          <w:szCs w:val="20"/>
        </w:rPr>
      </w:pPr>
      <w:r w:rsidRPr="00AE52FA">
        <w:rPr>
          <w:rFonts w:ascii="Times New Roman" w:hAnsi="Times New Roman" w:cs="Times New Roman"/>
          <w:sz w:val="20"/>
          <w:szCs w:val="20"/>
        </w:rPr>
        <w:t xml:space="preserve">marketing expense of </w:t>
      </w:r>
      <w:r w:rsidRPr="00D66903">
        <w:rPr>
          <w:rFonts w:ascii="Times New Roman" w:hAnsi="Times New Roman" w:cs="Times New Roman"/>
          <w:sz w:val="20"/>
          <w:szCs w:val="20"/>
        </w:rPr>
        <w:t>$</w:t>
      </w:r>
      <w:r w:rsidR="00D66903" w:rsidRPr="00D66903">
        <w:rPr>
          <w:rFonts w:ascii="Times New Roman" w:hAnsi="Times New Roman" w:cs="Times New Roman"/>
          <w:sz w:val="20"/>
          <w:szCs w:val="20"/>
        </w:rPr>
        <w:t>275</w:t>
      </w:r>
      <w:r w:rsidR="00D66903">
        <w:rPr>
          <w:rFonts w:ascii="Times New Roman" w:hAnsi="Times New Roman" w:cs="Times New Roman"/>
          <w:sz w:val="20"/>
          <w:szCs w:val="20"/>
        </w:rPr>
        <w:t>,660</w:t>
      </w:r>
      <w:r w:rsidRPr="00EB1E94">
        <w:rPr>
          <w:rFonts w:ascii="Times New Roman" w:hAnsi="Times New Roman" w:cs="Times New Roman"/>
          <w:sz w:val="20"/>
          <w:szCs w:val="20"/>
        </w:rPr>
        <w:t xml:space="preserve"> (20</w:t>
      </w:r>
      <w:r w:rsidR="00BF77BD">
        <w:rPr>
          <w:rFonts w:ascii="Times New Roman" w:hAnsi="Times New Roman" w:cs="Times New Roman"/>
          <w:sz w:val="20"/>
          <w:szCs w:val="20"/>
        </w:rPr>
        <w:t>20</w:t>
      </w:r>
      <w:r w:rsidRPr="00EB1E94">
        <w:rPr>
          <w:rFonts w:ascii="Times New Roman" w:hAnsi="Times New Roman" w:cs="Times New Roman"/>
          <w:sz w:val="20"/>
          <w:szCs w:val="20"/>
        </w:rPr>
        <w:t xml:space="preserve"> - </w:t>
      </w:r>
      <w:r w:rsidR="00BF77BD" w:rsidRPr="00533B93">
        <w:rPr>
          <w:rFonts w:ascii="Times New Roman" w:hAnsi="Times New Roman" w:cs="Times New Roman"/>
          <w:sz w:val="20"/>
          <w:szCs w:val="20"/>
        </w:rPr>
        <w:t>$</w:t>
      </w:r>
      <w:r w:rsidR="00926258">
        <w:rPr>
          <w:rFonts w:ascii="Times New Roman" w:hAnsi="Times New Roman" w:cs="Times New Roman"/>
          <w:sz w:val="20"/>
          <w:szCs w:val="20"/>
        </w:rPr>
        <w:t>62,914</w:t>
      </w:r>
      <w:r w:rsidRPr="00EB1E94">
        <w:rPr>
          <w:rFonts w:ascii="Times New Roman" w:hAnsi="Times New Roman" w:cs="Times New Roman"/>
          <w:sz w:val="20"/>
          <w:szCs w:val="20"/>
        </w:rPr>
        <w:t xml:space="preserve">) has </w:t>
      </w:r>
      <w:r w:rsidR="00AE52FA">
        <w:rPr>
          <w:rFonts w:ascii="Times New Roman" w:hAnsi="Times New Roman" w:cs="Times New Roman"/>
          <w:sz w:val="20"/>
          <w:szCs w:val="20"/>
        </w:rPr>
        <w:t>increased</w:t>
      </w:r>
      <w:r w:rsidRPr="00EB1E94">
        <w:rPr>
          <w:rFonts w:ascii="Times New Roman" w:hAnsi="Times New Roman" w:cs="Times New Roman"/>
          <w:sz w:val="20"/>
          <w:szCs w:val="20"/>
        </w:rPr>
        <w:t xml:space="preserve"> </w:t>
      </w:r>
      <w:r w:rsidRPr="00152D99">
        <w:rPr>
          <w:rFonts w:ascii="Times New Roman" w:hAnsi="Times New Roman" w:cs="Times New Roman"/>
          <w:sz w:val="20"/>
          <w:szCs w:val="20"/>
        </w:rPr>
        <w:t>from 20</w:t>
      </w:r>
      <w:r w:rsidR="00AE52FA">
        <w:rPr>
          <w:rFonts w:ascii="Times New Roman" w:hAnsi="Times New Roman" w:cs="Times New Roman"/>
          <w:sz w:val="20"/>
          <w:szCs w:val="20"/>
        </w:rPr>
        <w:t>20</w:t>
      </w:r>
      <w:r w:rsidRPr="00152D99">
        <w:rPr>
          <w:rFonts w:ascii="Times New Roman" w:hAnsi="Times New Roman" w:cs="Times New Roman"/>
          <w:sz w:val="20"/>
          <w:szCs w:val="20"/>
        </w:rPr>
        <w:t xml:space="preserve">, as </w:t>
      </w:r>
      <w:r w:rsidRPr="00EB1E94">
        <w:rPr>
          <w:rFonts w:ascii="Times New Roman" w:hAnsi="Times New Roman" w:cs="Times New Roman"/>
          <w:sz w:val="20"/>
          <w:szCs w:val="20"/>
        </w:rPr>
        <w:t xml:space="preserve">the </w:t>
      </w:r>
      <w:r>
        <w:rPr>
          <w:rFonts w:ascii="Times New Roman" w:hAnsi="Times New Roman" w:cs="Times New Roman"/>
          <w:sz w:val="20"/>
          <w:szCs w:val="20"/>
        </w:rPr>
        <w:t>Company</w:t>
      </w:r>
      <w:r w:rsidRPr="00EB1E94">
        <w:rPr>
          <w:rFonts w:ascii="Times New Roman" w:hAnsi="Times New Roman" w:cs="Times New Roman"/>
          <w:sz w:val="20"/>
          <w:szCs w:val="20"/>
        </w:rPr>
        <w:t xml:space="preserve"> </w:t>
      </w:r>
      <w:r w:rsidR="00AE52FA">
        <w:rPr>
          <w:rFonts w:ascii="Times New Roman" w:hAnsi="Times New Roman" w:cs="Times New Roman"/>
          <w:sz w:val="20"/>
          <w:szCs w:val="20"/>
        </w:rPr>
        <w:t>increased efforts to grow the business</w:t>
      </w:r>
      <w:r w:rsidR="00803161">
        <w:rPr>
          <w:rFonts w:ascii="Times New Roman" w:hAnsi="Times New Roman" w:cs="Times New Roman"/>
          <w:sz w:val="20"/>
          <w:szCs w:val="20"/>
        </w:rPr>
        <w:t xml:space="preserve"> and increase awareness of its products</w:t>
      </w:r>
      <w:r w:rsidR="00AE52FA">
        <w:rPr>
          <w:rFonts w:ascii="Times New Roman" w:hAnsi="Times New Roman" w:cs="Times New Roman"/>
          <w:sz w:val="20"/>
          <w:szCs w:val="20"/>
        </w:rPr>
        <w:t xml:space="preserve">. The Company incurred less marketing expenses during 2020 as result of the uncertainty of the COVID-19 pandemic. Included in 2021 </w:t>
      </w:r>
      <w:r w:rsidR="00803161">
        <w:rPr>
          <w:rFonts w:ascii="Times New Roman" w:hAnsi="Times New Roman" w:cs="Times New Roman"/>
          <w:sz w:val="20"/>
          <w:szCs w:val="20"/>
        </w:rPr>
        <w:t xml:space="preserve">is $15,000 which represents the fair value of the 40,843 </w:t>
      </w:r>
      <w:r w:rsidR="00AE52FA">
        <w:rPr>
          <w:rFonts w:ascii="Times New Roman" w:hAnsi="Times New Roman" w:cs="Times New Roman"/>
          <w:sz w:val="20"/>
          <w:szCs w:val="20"/>
        </w:rPr>
        <w:t>common shares issued to AGORACOM</w:t>
      </w:r>
      <w:r w:rsidR="008E2550">
        <w:rPr>
          <w:rFonts w:ascii="Times New Roman" w:hAnsi="Times New Roman" w:cs="Times New Roman"/>
          <w:sz w:val="20"/>
          <w:szCs w:val="20"/>
        </w:rPr>
        <w:t xml:space="preserve"> and $30,000 which represents the fair value of the shares issuable but not yet issued</w:t>
      </w:r>
      <w:r w:rsidR="00A72252">
        <w:rPr>
          <w:rFonts w:ascii="Times New Roman" w:hAnsi="Times New Roman" w:cs="Times New Roman"/>
          <w:sz w:val="20"/>
          <w:szCs w:val="20"/>
        </w:rPr>
        <w:t xml:space="preserve"> to AGORACOM</w:t>
      </w:r>
      <w:r w:rsidR="00AE52FA">
        <w:rPr>
          <w:rFonts w:ascii="Times New Roman" w:hAnsi="Times New Roman" w:cs="Times New Roman"/>
          <w:sz w:val="20"/>
          <w:szCs w:val="20"/>
        </w:rPr>
        <w:t>.</w:t>
      </w:r>
    </w:p>
    <w:p w14:paraId="765A82B2" w14:textId="77777777" w:rsidR="00D66903" w:rsidRPr="00D66903" w:rsidRDefault="00D66903" w:rsidP="00A4460C">
      <w:pPr>
        <w:spacing w:after="0" w:line="240" w:lineRule="auto"/>
        <w:jc w:val="both"/>
        <w:rPr>
          <w:rFonts w:ascii="Times New Roman" w:hAnsi="Times New Roman" w:cs="Times New Roman"/>
          <w:sz w:val="20"/>
          <w:szCs w:val="20"/>
        </w:rPr>
      </w:pPr>
    </w:p>
    <w:p w14:paraId="6DED4D61" w14:textId="3641D8B5" w:rsidR="006D7D04" w:rsidRDefault="006D7D04" w:rsidP="00A4460C">
      <w:pPr>
        <w:pStyle w:val="ListParagraph"/>
        <w:numPr>
          <w:ilvl w:val="0"/>
          <w:numId w:val="2"/>
        </w:numPr>
        <w:spacing w:after="0" w:line="240" w:lineRule="auto"/>
        <w:contextualSpacing w:val="0"/>
        <w:jc w:val="both"/>
        <w:rPr>
          <w:rFonts w:ascii="Times New Roman" w:hAnsi="Times New Roman" w:cs="Times New Roman"/>
          <w:sz w:val="20"/>
          <w:szCs w:val="20"/>
        </w:rPr>
      </w:pPr>
      <w:bookmarkStart w:id="7" w:name="_Hlk80962410"/>
      <w:r w:rsidRPr="004976AD">
        <w:rPr>
          <w:rFonts w:ascii="Times New Roman" w:hAnsi="Times New Roman" w:cs="Times New Roman"/>
          <w:sz w:val="20"/>
          <w:szCs w:val="20"/>
        </w:rPr>
        <w:t xml:space="preserve">share based payments </w:t>
      </w:r>
      <w:r w:rsidRPr="00D66903">
        <w:rPr>
          <w:rFonts w:ascii="Times New Roman" w:hAnsi="Times New Roman" w:cs="Times New Roman"/>
          <w:sz w:val="20"/>
          <w:szCs w:val="20"/>
        </w:rPr>
        <w:t>of $</w:t>
      </w:r>
      <w:r w:rsidR="00D66903" w:rsidRPr="00D66903">
        <w:rPr>
          <w:rFonts w:ascii="Times New Roman" w:hAnsi="Times New Roman" w:cs="Times New Roman"/>
          <w:sz w:val="20"/>
          <w:szCs w:val="20"/>
        </w:rPr>
        <w:t>252,478</w:t>
      </w:r>
      <w:r w:rsidRPr="00A42072">
        <w:rPr>
          <w:rFonts w:ascii="Times New Roman" w:hAnsi="Times New Roman" w:cs="Times New Roman"/>
          <w:sz w:val="20"/>
          <w:szCs w:val="20"/>
        </w:rPr>
        <w:t xml:space="preserve"> (20</w:t>
      </w:r>
      <w:r w:rsidR="00BF77BD">
        <w:rPr>
          <w:rFonts w:ascii="Times New Roman" w:hAnsi="Times New Roman" w:cs="Times New Roman"/>
          <w:sz w:val="20"/>
          <w:szCs w:val="20"/>
        </w:rPr>
        <w:t>20</w:t>
      </w:r>
      <w:r w:rsidRPr="00A42072">
        <w:rPr>
          <w:rFonts w:ascii="Times New Roman" w:hAnsi="Times New Roman" w:cs="Times New Roman"/>
          <w:sz w:val="20"/>
          <w:szCs w:val="20"/>
        </w:rPr>
        <w:t xml:space="preserve"> - </w:t>
      </w:r>
      <w:r w:rsidR="00BF77BD" w:rsidRPr="00533B93">
        <w:rPr>
          <w:rFonts w:ascii="Times New Roman" w:hAnsi="Times New Roman" w:cs="Times New Roman"/>
          <w:sz w:val="20"/>
          <w:szCs w:val="20"/>
        </w:rPr>
        <w:t>$</w:t>
      </w:r>
      <w:r w:rsidR="00926258">
        <w:rPr>
          <w:rFonts w:ascii="Times New Roman" w:hAnsi="Times New Roman" w:cs="Times New Roman"/>
          <w:sz w:val="20"/>
          <w:szCs w:val="20"/>
        </w:rPr>
        <w:t>113,143</w:t>
      </w:r>
      <w:r w:rsidRPr="00A42072">
        <w:rPr>
          <w:rFonts w:ascii="Times New Roman" w:hAnsi="Times New Roman" w:cs="Times New Roman"/>
          <w:sz w:val="20"/>
          <w:szCs w:val="20"/>
        </w:rPr>
        <w:t>) related to the fair value of s</w:t>
      </w:r>
      <w:r>
        <w:rPr>
          <w:rFonts w:ascii="Times New Roman" w:hAnsi="Times New Roman" w:cs="Times New Roman"/>
          <w:sz w:val="20"/>
          <w:szCs w:val="20"/>
        </w:rPr>
        <w:t>hare purchase</w:t>
      </w:r>
      <w:r w:rsidRPr="00A42072">
        <w:rPr>
          <w:rFonts w:ascii="Times New Roman" w:hAnsi="Times New Roman" w:cs="Times New Roman"/>
          <w:sz w:val="20"/>
          <w:szCs w:val="20"/>
        </w:rPr>
        <w:t xml:space="preserve"> options granted and vested during the </w:t>
      </w:r>
      <w:r w:rsidR="00B65CAE">
        <w:rPr>
          <w:rFonts w:ascii="Times New Roman" w:hAnsi="Times New Roman" w:cs="Times New Roman"/>
          <w:sz w:val="20"/>
          <w:szCs w:val="20"/>
        </w:rPr>
        <w:t xml:space="preserve">period </w:t>
      </w:r>
      <w:r w:rsidRPr="00A42072">
        <w:rPr>
          <w:rFonts w:ascii="Times New Roman" w:hAnsi="Times New Roman" w:cs="Times New Roman"/>
          <w:sz w:val="20"/>
          <w:szCs w:val="20"/>
        </w:rPr>
        <w:t xml:space="preserve">and the vesting of RSUs during the </w:t>
      </w:r>
      <w:r w:rsidR="00B65CAE">
        <w:rPr>
          <w:rFonts w:ascii="Times New Roman" w:hAnsi="Times New Roman" w:cs="Times New Roman"/>
          <w:sz w:val="20"/>
          <w:szCs w:val="20"/>
        </w:rPr>
        <w:t>period</w:t>
      </w:r>
      <w:r w:rsidRPr="00A42072">
        <w:rPr>
          <w:rFonts w:ascii="Times New Roman" w:hAnsi="Times New Roman" w:cs="Times New Roman"/>
          <w:sz w:val="20"/>
          <w:szCs w:val="20"/>
        </w:rPr>
        <w:t xml:space="preserve">. During the </w:t>
      </w:r>
      <w:r w:rsidR="00524F55">
        <w:rPr>
          <w:rFonts w:ascii="Times New Roman" w:hAnsi="Times New Roman" w:cs="Times New Roman"/>
          <w:sz w:val="20"/>
          <w:szCs w:val="20"/>
        </w:rPr>
        <w:t xml:space="preserve">six months </w:t>
      </w:r>
      <w:r w:rsidR="009E2275">
        <w:rPr>
          <w:rFonts w:ascii="Times New Roman" w:hAnsi="Times New Roman" w:cs="Times New Roman"/>
          <w:sz w:val="20"/>
          <w:szCs w:val="20"/>
        </w:rPr>
        <w:t>ended</w:t>
      </w:r>
      <w:r w:rsidRPr="00A42072">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Pr>
          <w:rFonts w:ascii="Times New Roman" w:hAnsi="Times New Roman" w:cs="Times New Roman"/>
          <w:sz w:val="20"/>
          <w:szCs w:val="20"/>
        </w:rPr>
        <w:t>, 2021</w:t>
      </w:r>
      <w:r w:rsidRPr="00A42072">
        <w:rPr>
          <w:rFonts w:ascii="Times New Roman" w:hAnsi="Times New Roman" w:cs="Times New Roman"/>
          <w:sz w:val="20"/>
          <w:szCs w:val="20"/>
        </w:rPr>
        <w:t xml:space="preserve">, </w:t>
      </w:r>
      <w:r w:rsidRPr="00D66903">
        <w:rPr>
          <w:rFonts w:ascii="Times New Roman" w:hAnsi="Times New Roman" w:cs="Times New Roman"/>
          <w:sz w:val="20"/>
          <w:szCs w:val="20"/>
        </w:rPr>
        <w:t xml:space="preserve">the Company granted </w:t>
      </w:r>
      <w:r w:rsidR="00D66903" w:rsidRPr="00D66903">
        <w:rPr>
          <w:rFonts w:ascii="Times New Roman" w:hAnsi="Times New Roman" w:cs="Times New Roman"/>
          <w:sz w:val="20"/>
          <w:szCs w:val="20"/>
        </w:rPr>
        <w:t>3,360,000</w:t>
      </w:r>
      <w:r w:rsidRPr="00D66903">
        <w:rPr>
          <w:rFonts w:ascii="Times New Roman" w:hAnsi="Times New Roman" w:cs="Times New Roman"/>
          <w:sz w:val="20"/>
          <w:szCs w:val="20"/>
        </w:rPr>
        <w:t xml:space="preserve"> share purchase options and </w:t>
      </w:r>
      <w:r w:rsidR="00E56F1C">
        <w:rPr>
          <w:rFonts w:ascii="Times New Roman" w:hAnsi="Times New Roman" w:cs="Times New Roman"/>
          <w:sz w:val="20"/>
          <w:szCs w:val="20"/>
        </w:rPr>
        <w:t>25</w:t>
      </w:r>
      <w:r w:rsidRPr="00D66903">
        <w:rPr>
          <w:rFonts w:ascii="Times New Roman" w:hAnsi="Times New Roman" w:cs="Times New Roman"/>
          <w:sz w:val="20"/>
          <w:szCs w:val="20"/>
        </w:rPr>
        <w:t>,000 RSU</w:t>
      </w:r>
      <w:r w:rsidR="00D532DD" w:rsidRPr="00D66903">
        <w:rPr>
          <w:rFonts w:ascii="Times New Roman" w:hAnsi="Times New Roman" w:cs="Times New Roman"/>
          <w:sz w:val="20"/>
          <w:szCs w:val="20"/>
        </w:rPr>
        <w:t xml:space="preserve">s vested </w:t>
      </w:r>
      <w:r w:rsidRPr="00D66903">
        <w:rPr>
          <w:rFonts w:ascii="Times New Roman" w:hAnsi="Times New Roman" w:cs="Times New Roman"/>
          <w:sz w:val="20"/>
          <w:szCs w:val="20"/>
        </w:rPr>
        <w:t xml:space="preserve">to various officers, directors, </w:t>
      </w:r>
      <w:proofErr w:type="gramStart"/>
      <w:r w:rsidRPr="00D66903">
        <w:rPr>
          <w:rFonts w:ascii="Times New Roman" w:hAnsi="Times New Roman" w:cs="Times New Roman"/>
          <w:sz w:val="20"/>
          <w:szCs w:val="20"/>
        </w:rPr>
        <w:t>employees</w:t>
      </w:r>
      <w:proofErr w:type="gramEnd"/>
      <w:r w:rsidRPr="00D66903">
        <w:rPr>
          <w:rFonts w:ascii="Times New Roman" w:hAnsi="Times New Roman" w:cs="Times New Roman"/>
          <w:sz w:val="20"/>
          <w:szCs w:val="20"/>
        </w:rPr>
        <w:t xml:space="preserve"> and consultants.</w:t>
      </w:r>
    </w:p>
    <w:bookmarkEnd w:id="7"/>
    <w:p w14:paraId="6DA27BA5" w14:textId="77777777" w:rsidR="00803161" w:rsidRPr="003D68E7" w:rsidRDefault="00803161" w:rsidP="00A4460C">
      <w:pPr>
        <w:pStyle w:val="ListParagraph"/>
        <w:spacing w:after="0"/>
        <w:rPr>
          <w:rFonts w:ascii="Times New Roman" w:hAnsi="Times New Roman" w:cs="Times New Roman"/>
          <w:sz w:val="20"/>
          <w:szCs w:val="20"/>
        </w:rPr>
      </w:pPr>
    </w:p>
    <w:p w14:paraId="24378117" w14:textId="4D528A29" w:rsidR="00803161" w:rsidRPr="00803161" w:rsidRDefault="00803161" w:rsidP="0080316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salaries and benefits</w:t>
      </w:r>
      <w:r w:rsidRPr="00803161">
        <w:rPr>
          <w:rFonts w:ascii="Times New Roman" w:hAnsi="Times New Roman" w:cs="Times New Roman"/>
          <w:sz w:val="20"/>
          <w:szCs w:val="20"/>
        </w:rPr>
        <w:t xml:space="preserve"> of </w:t>
      </w:r>
      <w:r w:rsidRPr="00D66903">
        <w:rPr>
          <w:rFonts w:ascii="Times New Roman" w:hAnsi="Times New Roman" w:cs="Times New Roman"/>
          <w:sz w:val="20"/>
          <w:szCs w:val="20"/>
        </w:rPr>
        <w:t>$</w:t>
      </w:r>
      <w:r w:rsidR="00D66903" w:rsidRPr="00D66903">
        <w:rPr>
          <w:rFonts w:ascii="Times New Roman" w:hAnsi="Times New Roman" w:cs="Times New Roman"/>
          <w:sz w:val="20"/>
          <w:szCs w:val="20"/>
        </w:rPr>
        <w:t>788,773</w:t>
      </w:r>
      <w:r w:rsidRPr="00803161">
        <w:rPr>
          <w:rFonts w:ascii="Times New Roman" w:hAnsi="Times New Roman" w:cs="Times New Roman"/>
          <w:sz w:val="20"/>
          <w:szCs w:val="20"/>
        </w:rPr>
        <w:t xml:space="preserve"> (2020 - $</w:t>
      </w:r>
      <w:r w:rsidR="00926258">
        <w:rPr>
          <w:rFonts w:ascii="Times New Roman" w:hAnsi="Times New Roman" w:cs="Times New Roman"/>
          <w:sz w:val="20"/>
          <w:szCs w:val="20"/>
        </w:rPr>
        <w:t>671,027</w:t>
      </w:r>
      <w:r w:rsidRPr="00803161">
        <w:rPr>
          <w:rFonts w:ascii="Times New Roman" w:hAnsi="Times New Roman" w:cs="Times New Roman"/>
          <w:sz w:val="20"/>
          <w:szCs w:val="20"/>
        </w:rPr>
        <w:t xml:space="preserve">) </w:t>
      </w:r>
      <w:r w:rsidR="00D66903">
        <w:rPr>
          <w:rFonts w:ascii="Times New Roman" w:hAnsi="Times New Roman" w:cs="Times New Roman"/>
          <w:sz w:val="20"/>
          <w:szCs w:val="20"/>
        </w:rPr>
        <w:t xml:space="preserve">increased from 2020, largely </w:t>
      </w:r>
      <w:proofErr w:type="gramStart"/>
      <w:r w:rsidR="00D66903">
        <w:rPr>
          <w:rFonts w:ascii="Times New Roman" w:hAnsi="Times New Roman" w:cs="Times New Roman"/>
          <w:sz w:val="20"/>
          <w:szCs w:val="20"/>
        </w:rPr>
        <w:t>as a result of</w:t>
      </w:r>
      <w:proofErr w:type="gramEnd"/>
      <w:r w:rsidR="00D66903">
        <w:rPr>
          <w:rFonts w:ascii="Times New Roman" w:hAnsi="Times New Roman" w:cs="Times New Roman"/>
          <w:sz w:val="20"/>
          <w:szCs w:val="20"/>
        </w:rPr>
        <w:t xml:space="preserve"> the acquisition of </w:t>
      </w:r>
      <w:proofErr w:type="spellStart"/>
      <w:r w:rsidR="00D66903">
        <w:rPr>
          <w:rFonts w:ascii="Times New Roman" w:hAnsi="Times New Roman" w:cs="Times New Roman"/>
          <w:sz w:val="20"/>
          <w:szCs w:val="20"/>
        </w:rPr>
        <w:t>Inverite</w:t>
      </w:r>
      <w:proofErr w:type="spellEnd"/>
      <w:r w:rsidR="00D66903">
        <w:rPr>
          <w:rFonts w:ascii="Times New Roman" w:hAnsi="Times New Roman" w:cs="Times New Roman"/>
          <w:sz w:val="20"/>
          <w:szCs w:val="20"/>
        </w:rPr>
        <w:t xml:space="preserve"> staff</w:t>
      </w:r>
      <w:r w:rsidR="00BF4450">
        <w:rPr>
          <w:rFonts w:ascii="Times New Roman" w:hAnsi="Times New Roman" w:cs="Times New Roman"/>
          <w:sz w:val="20"/>
          <w:szCs w:val="20"/>
        </w:rPr>
        <w:t xml:space="preserve"> and its employees</w:t>
      </w:r>
      <w:r w:rsidR="00D66903">
        <w:rPr>
          <w:rFonts w:ascii="Times New Roman" w:hAnsi="Times New Roman" w:cs="Times New Roman"/>
          <w:sz w:val="20"/>
          <w:szCs w:val="20"/>
        </w:rPr>
        <w:t>.</w:t>
      </w:r>
    </w:p>
    <w:p w14:paraId="43BE655E" w14:textId="77777777" w:rsidR="006D7D04" w:rsidRPr="003B5DED" w:rsidRDefault="006D7D04" w:rsidP="006D7D04">
      <w:pPr>
        <w:pStyle w:val="ListParagraph"/>
        <w:spacing w:after="0" w:line="240" w:lineRule="auto"/>
        <w:rPr>
          <w:rFonts w:ascii="Times New Roman" w:hAnsi="Times New Roman" w:cs="Times New Roman"/>
          <w:sz w:val="20"/>
          <w:szCs w:val="20"/>
          <w:highlight w:val="yellow"/>
        </w:rPr>
      </w:pPr>
    </w:p>
    <w:p w14:paraId="7A43ACF9" w14:textId="73A14D38" w:rsidR="006D7D04" w:rsidRDefault="006D7D04" w:rsidP="006D7D04">
      <w:pPr>
        <w:pStyle w:val="ListParagraph"/>
        <w:numPr>
          <w:ilvl w:val="0"/>
          <w:numId w:val="2"/>
        </w:numPr>
        <w:spacing w:after="0" w:line="240" w:lineRule="auto"/>
        <w:contextualSpacing w:val="0"/>
        <w:jc w:val="both"/>
        <w:rPr>
          <w:rFonts w:ascii="Times New Roman" w:hAnsi="Times New Roman" w:cs="Times New Roman"/>
          <w:sz w:val="20"/>
          <w:szCs w:val="20"/>
        </w:rPr>
      </w:pPr>
      <w:r w:rsidRPr="00D532DD">
        <w:rPr>
          <w:rFonts w:ascii="Times New Roman" w:hAnsi="Times New Roman" w:cs="Times New Roman"/>
          <w:sz w:val="20"/>
          <w:szCs w:val="20"/>
        </w:rPr>
        <w:t xml:space="preserve">transfer agent and filing fees of </w:t>
      </w:r>
      <w:r w:rsidRPr="00D66903">
        <w:rPr>
          <w:rFonts w:ascii="Times New Roman" w:hAnsi="Times New Roman" w:cs="Times New Roman"/>
          <w:sz w:val="20"/>
          <w:szCs w:val="20"/>
        </w:rPr>
        <w:t>$</w:t>
      </w:r>
      <w:r w:rsidR="00D66903" w:rsidRPr="00D66903">
        <w:rPr>
          <w:rFonts w:ascii="Times New Roman" w:hAnsi="Times New Roman" w:cs="Times New Roman"/>
          <w:sz w:val="20"/>
          <w:szCs w:val="20"/>
        </w:rPr>
        <w:t>14</w:t>
      </w:r>
      <w:r w:rsidR="00D66903">
        <w:rPr>
          <w:rFonts w:ascii="Times New Roman" w:hAnsi="Times New Roman" w:cs="Times New Roman"/>
          <w:sz w:val="20"/>
          <w:szCs w:val="20"/>
        </w:rPr>
        <w:t>,080</w:t>
      </w:r>
      <w:r w:rsidR="00D532DD">
        <w:rPr>
          <w:rFonts w:ascii="Times New Roman" w:hAnsi="Times New Roman" w:cs="Times New Roman"/>
          <w:sz w:val="20"/>
          <w:szCs w:val="20"/>
        </w:rPr>
        <w:t xml:space="preserve"> </w:t>
      </w:r>
      <w:r w:rsidRPr="00A42072">
        <w:rPr>
          <w:rFonts w:ascii="Times New Roman" w:hAnsi="Times New Roman" w:cs="Times New Roman"/>
          <w:sz w:val="20"/>
          <w:szCs w:val="20"/>
        </w:rPr>
        <w:t>(20</w:t>
      </w:r>
      <w:r w:rsidR="00BF77BD">
        <w:rPr>
          <w:rFonts w:ascii="Times New Roman" w:hAnsi="Times New Roman" w:cs="Times New Roman"/>
          <w:sz w:val="20"/>
          <w:szCs w:val="20"/>
        </w:rPr>
        <w:t>20</w:t>
      </w:r>
      <w:r w:rsidRPr="00A42072">
        <w:rPr>
          <w:rFonts w:ascii="Times New Roman" w:hAnsi="Times New Roman" w:cs="Times New Roman"/>
          <w:sz w:val="20"/>
          <w:szCs w:val="20"/>
        </w:rPr>
        <w:t xml:space="preserve"> - </w:t>
      </w:r>
      <w:r w:rsidR="00BF77BD" w:rsidRPr="00533B93">
        <w:rPr>
          <w:rFonts w:ascii="Times New Roman" w:hAnsi="Times New Roman" w:cs="Times New Roman"/>
          <w:sz w:val="20"/>
          <w:szCs w:val="20"/>
        </w:rPr>
        <w:t>$</w:t>
      </w:r>
      <w:r w:rsidR="00926258">
        <w:rPr>
          <w:rFonts w:ascii="Times New Roman" w:hAnsi="Times New Roman" w:cs="Times New Roman"/>
          <w:sz w:val="20"/>
          <w:szCs w:val="20"/>
        </w:rPr>
        <w:t>12,020</w:t>
      </w:r>
      <w:r w:rsidRPr="00A42072">
        <w:rPr>
          <w:rFonts w:ascii="Times New Roman" w:hAnsi="Times New Roman" w:cs="Times New Roman"/>
          <w:sz w:val="20"/>
          <w:szCs w:val="20"/>
        </w:rPr>
        <w:t xml:space="preserve">) </w:t>
      </w:r>
      <w:r w:rsidR="00D532DD">
        <w:rPr>
          <w:rFonts w:ascii="Times New Roman" w:hAnsi="Times New Roman" w:cs="Times New Roman"/>
          <w:sz w:val="20"/>
          <w:szCs w:val="20"/>
        </w:rPr>
        <w:t>increased</w:t>
      </w:r>
      <w:r w:rsidRPr="00A42072">
        <w:rPr>
          <w:rFonts w:ascii="Times New Roman" w:hAnsi="Times New Roman" w:cs="Times New Roman"/>
          <w:sz w:val="20"/>
          <w:szCs w:val="20"/>
        </w:rPr>
        <w:t xml:space="preserve"> due to the higher fees relating to the</w:t>
      </w:r>
      <w:r w:rsidR="00D532DD">
        <w:rPr>
          <w:rFonts w:ascii="Times New Roman" w:hAnsi="Times New Roman" w:cs="Times New Roman"/>
          <w:sz w:val="20"/>
          <w:szCs w:val="20"/>
        </w:rPr>
        <w:t xml:space="preserve"> completion of two private placements</w:t>
      </w:r>
      <w:r w:rsidR="00D66903">
        <w:rPr>
          <w:rFonts w:ascii="Times New Roman" w:hAnsi="Times New Roman" w:cs="Times New Roman"/>
          <w:sz w:val="20"/>
          <w:szCs w:val="20"/>
        </w:rPr>
        <w:t xml:space="preserve"> and the convertible debenture financing</w:t>
      </w:r>
      <w:r w:rsidR="00D532DD">
        <w:rPr>
          <w:rFonts w:ascii="Times New Roman" w:hAnsi="Times New Roman" w:cs="Times New Roman"/>
          <w:sz w:val="20"/>
          <w:szCs w:val="20"/>
        </w:rPr>
        <w:t xml:space="preserve"> during the </w:t>
      </w:r>
      <w:r w:rsidR="00D21B97">
        <w:rPr>
          <w:rFonts w:ascii="Times New Roman" w:hAnsi="Times New Roman" w:cs="Times New Roman"/>
          <w:sz w:val="20"/>
          <w:szCs w:val="20"/>
        </w:rPr>
        <w:t xml:space="preserve">six months </w:t>
      </w:r>
      <w:r w:rsidR="00803161">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803161">
        <w:rPr>
          <w:rFonts w:ascii="Times New Roman" w:hAnsi="Times New Roman" w:cs="Times New Roman"/>
          <w:sz w:val="20"/>
          <w:szCs w:val="20"/>
        </w:rPr>
        <w:t>, 2021</w:t>
      </w:r>
      <w:r w:rsidR="00D532DD">
        <w:rPr>
          <w:rFonts w:ascii="Times New Roman" w:hAnsi="Times New Roman" w:cs="Times New Roman"/>
          <w:sz w:val="20"/>
          <w:szCs w:val="20"/>
        </w:rPr>
        <w:t>.</w:t>
      </w:r>
      <w:r w:rsidRPr="00A42072">
        <w:rPr>
          <w:rFonts w:ascii="Times New Roman" w:hAnsi="Times New Roman" w:cs="Times New Roman"/>
          <w:sz w:val="20"/>
          <w:szCs w:val="20"/>
        </w:rPr>
        <w:t xml:space="preserve"> </w:t>
      </w:r>
    </w:p>
    <w:p w14:paraId="2253B1BC" w14:textId="77777777" w:rsidR="00EE6DBB" w:rsidRDefault="00EE6DBB" w:rsidP="00EE6DBB">
      <w:pPr>
        <w:spacing w:after="0" w:line="240" w:lineRule="auto"/>
        <w:jc w:val="both"/>
        <w:rPr>
          <w:rFonts w:ascii="Times New Roman" w:hAnsi="Times New Roman" w:cs="Times New Roman"/>
          <w:b/>
          <w:i/>
          <w:sz w:val="20"/>
          <w:szCs w:val="20"/>
        </w:rPr>
      </w:pPr>
      <w:bookmarkStart w:id="8" w:name="_Hlk514656726"/>
    </w:p>
    <w:p w14:paraId="4D1FAF45" w14:textId="6546331D" w:rsidR="00EE6DBB" w:rsidRPr="00F0696B" w:rsidRDefault="00EE6DBB" w:rsidP="00F0696B">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Other Income (Expenses)</w:t>
      </w:r>
    </w:p>
    <w:p w14:paraId="50F037E0" w14:textId="44E25938" w:rsidR="00BF77BD" w:rsidRDefault="00BF77BD" w:rsidP="006D7D04">
      <w:pPr>
        <w:spacing w:after="0" w:line="240" w:lineRule="auto"/>
        <w:jc w:val="both"/>
        <w:rPr>
          <w:rFonts w:ascii="Times New Roman" w:hAnsi="Times New Roman" w:cs="Times New Roman"/>
          <w:b/>
          <w:i/>
          <w:sz w:val="20"/>
          <w:szCs w:val="20"/>
        </w:rPr>
      </w:pPr>
    </w:p>
    <w:p w14:paraId="7B28A10E" w14:textId="5E18F2EC" w:rsidR="00BF4450" w:rsidRDefault="00EE6DBB" w:rsidP="00BF4450">
      <w:pPr>
        <w:pStyle w:val="ListParagraph"/>
        <w:numPr>
          <w:ilvl w:val="0"/>
          <w:numId w:val="2"/>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i</w:t>
      </w:r>
      <w:r w:rsidR="00BF4450" w:rsidRPr="00EE6DBB">
        <w:rPr>
          <w:rFonts w:ascii="Times New Roman" w:hAnsi="Times New Roman" w:cs="Times New Roman"/>
          <w:sz w:val="20"/>
          <w:szCs w:val="20"/>
        </w:rPr>
        <w:t>nterest on convertible debentures and lease liabilities of $</w:t>
      </w:r>
      <w:r w:rsidR="00BF4450" w:rsidRPr="00F0696B">
        <w:rPr>
          <w:rFonts w:ascii="Times New Roman" w:hAnsi="Times New Roman" w:cs="Times New Roman"/>
          <w:sz w:val="20"/>
          <w:szCs w:val="20"/>
        </w:rPr>
        <w:t>83,738</w:t>
      </w:r>
      <w:r w:rsidR="00BF4450" w:rsidRPr="00EE6DBB">
        <w:rPr>
          <w:rFonts w:ascii="Times New Roman" w:hAnsi="Times New Roman" w:cs="Times New Roman"/>
          <w:sz w:val="20"/>
          <w:szCs w:val="20"/>
        </w:rPr>
        <w:t xml:space="preserve"> (2020 - $</w:t>
      </w:r>
      <w:r w:rsidR="00BF4450" w:rsidRPr="00F0696B">
        <w:rPr>
          <w:rFonts w:ascii="Times New Roman" w:hAnsi="Times New Roman" w:cs="Times New Roman"/>
          <w:sz w:val="20"/>
          <w:szCs w:val="20"/>
        </w:rPr>
        <w:t>20,422</w:t>
      </w:r>
      <w:r w:rsidR="00BF4450" w:rsidRPr="00EE6DBB">
        <w:rPr>
          <w:rFonts w:ascii="Times New Roman" w:hAnsi="Times New Roman" w:cs="Times New Roman"/>
          <w:sz w:val="20"/>
          <w:szCs w:val="20"/>
        </w:rPr>
        <w:t xml:space="preserve">) increased </w:t>
      </w:r>
      <w:r w:rsidRPr="00F0696B">
        <w:rPr>
          <w:rFonts w:ascii="Times New Roman" w:hAnsi="Times New Roman" w:cs="Times New Roman"/>
          <w:sz w:val="20"/>
          <w:szCs w:val="20"/>
        </w:rPr>
        <w:t xml:space="preserve">from 2020, largely </w:t>
      </w:r>
      <w:proofErr w:type="gramStart"/>
      <w:r w:rsidRPr="00F0696B">
        <w:rPr>
          <w:rFonts w:ascii="Times New Roman" w:hAnsi="Times New Roman" w:cs="Times New Roman"/>
          <w:sz w:val="20"/>
          <w:szCs w:val="20"/>
        </w:rPr>
        <w:t>as a result of</w:t>
      </w:r>
      <w:proofErr w:type="gramEnd"/>
      <w:r w:rsidR="00BF4450" w:rsidRPr="00F0696B">
        <w:rPr>
          <w:rFonts w:ascii="Times New Roman" w:hAnsi="Times New Roman" w:cs="Times New Roman"/>
          <w:sz w:val="20"/>
          <w:szCs w:val="20"/>
        </w:rPr>
        <w:t xml:space="preserve"> </w:t>
      </w:r>
      <w:r w:rsidRPr="00F0696B">
        <w:rPr>
          <w:rFonts w:ascii="Times New Roman" w:hAnsi="Times New Roman" w:cs="Times New Roman"/>
          <w:sz w:val="20"/>
          <w:szCs w:val="20"/>
        </w:rPr>
        <w:t>new convertible debentures issued during the period</w:t>
      </w:r>
      <w:r w:rsidR="009A307E">
        <w:rPr>
          <w:rFonts w:ascii="Times New Roman" w:hAnsi="Times New Roman" w:cs="Times New Roman"/>
          <w:sz w:val="20"/>
          <w:szCs w:val="20"/>
        </w:rPr>
        <w:t xml:space="preserve"> with an aggregate principal of $1,303,000</w:t>
      </w:r>
      <w:r w:rsidRPr="00F0696B">
        <w:rPr>
          <w:rFonts w:ascii="Times New Roman" w:hAnsi="Times New Roman" w:cs="Times New Roman"/>
          <w:sz w:val="20"/>
          <w:szCs w:val="20"/>
        </w:rPr>
        <w:t xml:space="preserve">. </w:t>
      </w:r>
    </w:p>
    <w:p w14:paraId="7E2C277D" w14:textId="77777777" w:rsidR="00CA4529" w:rsidRDefault="00CA4529" w:rsidP="00F0696B">
      <w:pPr>
        <w:pStyle w:val="ListParagraph"/>
        <w:spacing w:after="0" w:line="240" w:lineRule="auto"/>
        <w:ind w:left="360"/>
        <w:contextualSpacing w:val="0"/>
        <w:jc w:val="both"/>
        <w:rPr>
          <w:rFonts w:ascii="Times New Roman" w:hAnsi="Times New Roman" w:cs="Times New Roman"/>
          <w:sz w:val="20"/>
          <w:szCs w:val="20"/>
        </w:rPr>
      </w:pPr>
    </w:p>
    <w:p w14:paraId="293F47BD" w14:textId="26FFCA68" w:rsidR="00CA4529" w:rsidRPr="00F0696B" w:rsidRDefault="00CA4529" w:rsidP="00CA4529">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 xml:space="preserve">The Company incurred a loss on settlement of $460,000 principal </w:t>
      </w:r>
      <w:proofErr w:type="gramStart"/>
      <w:r w:rsidRPr="00F0696B">
        <w:rPr>
          <w:rFonts w:ascii="Times New Roman" w:hAnsi="Times New Roman" w:cs="Times New Roman"/>
          <w:sz w:val="20"/>
          <w:szCs w:val="20"/>
        </w:rPr>
        <w:t>amount</w:t>
      </w:r>
      <w:proofErr w:type="gramEnd"/>
      <w:r w:rsidRPr="00F0696B">
        <w:rPr>
          <w:rFonts w:ascii="Times New Roman" w:hAnsi="Times New Roman" w:cs="Times New Roman"/>
          <w:sz w:val="20"/>
          <w:szCs w:val="20"/>
        </w:rPr>
        <w:t xml:space="preserve"> of convertible debentures of $22,036 (2020 - $nil) settled through the issuance of 1,533,333 common shares.</w:t>
      </w:r>
    </w:p>
    <w:p w14:paraId="66E0C339" w14:textId="77777777" w:rsidR="00BF4450" w:rsidRPr="00F0696B" w:rsidRDefault="00BF4450" w:rsidP="00F0696B">
      <w:pPr>
        <w:spacing w:after="0" w:line="240" w:lineRule="auto"/>
        <w:jc w:val="both"/>
        <w:rPr>
          <w:rFonts w:ascii="Times New Roman" w:hAnsi="Times New Roman" w:cs="Times New Roman"/>
          <w:sz w:val="20"/>
          <w:szCs w:val="20"/>
        </w:rPr>
      </w:pPr>
    </w:p>
    <w:p w14:paraId="230AF8A3" w14:textId="77777777" w:rsidR="001806B0" w:rsidRPr="00F0696B" w:rsidRDefault="001806B0" w:rsidP="001806B0">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The Company incurred a loss on the recognition of sublease of $12,096 (2020 - $nil) as the Company entered into a sublease agreement of its Marble office and derecognized the corresponding right-of-use asset during the period.</w:t>
      </w:r>
    </w:p>
    <w:p w14:paraId="76F13983" w14:textId="77777777" w:rsidR="001806B0" w:rsidRPr="00F0696B" w:rsidRDefault="001806B0" w:rsidP="001806B0">
      <w:pPr>
        <w:spacing w:after="0" w:line="240" w:lineRule="auto"/>
        <w:jc w:val="both"/>
        <w:rPr>
          <w:rFonts w:ascii="Times New Roman" w:hAnsi="Times New Roman" w:cs="Times New Roman"/>
          <w:sz w:val="20"/>
          <w:szCs w:val="20"/>
        </w:rPr>
      </w:pPr>
    </w:p>
    <w:p w14:paraId="1F384E8D" w14:textId="77777777" w:rsidR="001806B0" w:rsidRPr="00F0696B" w:rsidRDefault="001806B0" w:rsidP="001806B0">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The Company incurred a gain on the write-off of accounts payable of $8,229 (2020 - $nil) as the Company reviewed its accounts payable during the period and wrote-off amounts that are not expected to be paid.</w:t>
      </w:r>
    </w:p>
    <w:p w14:paraId="3A8596B4" w14:textId="65607118" w:rsidR="00BF4450" w:rsidRDefault="00BF4450" w:rsidP="006D7D04">
      <w:pPr>
        <w:spacing w:after="0" w:line="240" w:lineRule="auto"/>
        <w:jc w:val="both"/>
        <w:rPr>
          <w:rFonts w:ascii="Times New Roman" w:hAnsi="Times New Roman" w:cs="Times New Roman"/>
          <w:b/>
          <w:i/>
          <w:sz w:val="20"/>
          <w:szCs w:val="20"/>
        </w:rPr>
      </w:pPr>
    </w:p>
    <w:p w14:paraId="7E83F711" w14:textId="6E482DBB" w:rsidR="006D7D04" w:rsidRPr="00A42072" w:rsidRDefault="00E66456" w:rsidP="006D7D04">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Net</w:t>
      </w:r>
      <w:r w:rsidRPr="00A42072">
        <w:rPr>
          <w:rFonts w:ascii="Times New Roman" w:hAnsi="Times New Roman" w:cs="Times New Roman"/>
          <w:b/>
          <w:i/>
          <w:sz w:val="20"/>
          <w:szCs w:val="20"/>
        </w:rPr>
        <w:t xml:space="preserve"> </w:t>
      </w:r>
      <w:r w:rsidR="006D7D04" w:rsidRPr="00A42072">
        <w:rPr>
          <w:rFonts w:ascii="Times New Roman" w:hAnsi="Times New Roman" w:cs="Times New Roman"/>
          <w:b/>
          <w:i/>
          <w:sz w:val="20"/>
          <w:szCs w:val="20"/>
        </w:rPr>
        <w:t>Loss</w:t>
      </w:r>
    </w:p>
    <w:p w14:paraId="27AA3CAA" w14:textId="77777777" w:rsidR="006D7D04" w:rsidRPr="00152D99" w:rsidRDefault="006D7D04" w:rsidP="006D7D04">
      <w:pPr>
        <w:pStyle w:val="ListParagraph"/>
        <w:spacing w:after="0" w:line="240" w:lineRule="auto"/>
        <w:contextualSpacing w:val="0"/>
        <w:jc w:val="both"/>
        <w:rPr>
          <w:rFonts w:ascii="Times New Roman" w:hAnsi="Times New Roman" w:cs="Times New Roman"/>
          <w:b/>
          <w:i/>
          <w:sz w:val="20"/>
          <w:szCs w:val="20"/>
        </w:rPr>
      </w:pPr>
    </w:p>
    <w:bookmarkEnd w:id="8"/>
    <w:p w14:paraId="48E61867" w14:textId="1A997059" w:rsidR="006D7D04" w:rsidRDefault="006D7D04" w:rsidP="006D7D04">
      <w:pPr>
        <w:spacing w:after="0" w:line="240" w:lineRule="auto"/>
        <w:jc w:val="both"/>
        <w:rPr>
          <w:rFonts w:ascii="Times New Roman" w:hAnsi="Times New Roman" w:cs="Times New Roman"/>
          <w:sz w:val="20"/>
          <w:szCs w:val="20"/>
        </w:rPr>
      </w:pPr>
      <w:r w:rsidRPr="00FC7420">
        <w:rPr>
          <w:rFonts w:ascii="Times New Roman" w:hAnsi="Times New Roman" w:cs="Times New Roman"/>
          <w:sz w:val="20"/>
          <w:szCs w:val="20"/>
        </w:rPr>
        <w:t xml:space="preserve">The Company incurred a net loss </w:t>
      </w:r>
      <w:r w:rsidRPr="00476289">
        <w:rPr>
          <w:rFonts w:ascii="Times New Roman" w:hAnsi="Times New Roman" w:cs="Times New Roman"/>
          <w:sz w:val="20"/>
          <w:szCs w:val="20"/>
        </w:rPr>
        <w:t>of $</w:t>
      </w:r>
      <w:r w:rsidR="00476289" w:rsidRPr="00476289">
        <w:rPr>
          <w:rFonts w:ascii="Times New Roman" w:hAnsi="Times New Roman" w:cs="Times New Roman"/>
          <w:sz w:val="20"/>
          <w:szCs w:val="20"/>
        </w:rPr>
        <w:t>2,</w:t>
      </w:r>
      <w:r w:rsidR="009A307E">
        <w:rPr>
          <w:rFonts w:ascii="Times New Roman" w:hAnsi="Times New Roman" w:cs="Times New Roman"/>
          <w:sz w:val="20"/>
          <w:szCs w:val="20"/>
        </w:rPr>
        <w:t>651,797</w:t>
      </w:r>
      <w:r w:rsidRPr="00FC7420">
        <w:rPr>
          <w:rFonts w:ascii="Times New Roman" w:hAnsi="Times New Roman" w:cs="Times New Roman"/>
          <w:sz w:val="20"/>
          <w:szCs w:val="20"/>
        </w:rPr>
        <w:t xml:space="preserve"> for the </w:t>
      </w:r>
      <w:r w:rsidR="00D21B97">
        <w:rPr>
          <w:rFonts w:ascii="Times New Roman" w:hAnsi="Times New Roman" w:cs="Times New Roman"/>
          <w:sz w:val="20"/>
          <w:szCs w:val="20"/>
        </w:rPr>
        <w:t>six months</w:t>
      </w:r>
      <w:r w:rsidR="00D21B97" w:rsidRPr="00FC7420">
        <w:rPr>
          <w:rFonts w:ascii="Times New Roman" w:hAnsi="Times New Roman" w:cs="Times New Roman"/>
          <w:sz w:val="20"/>
          <w:szCs w:val="20"/>
        </w:rPr>
        <w:t xml:space="preserve"> </w:t>
      </w:r>
      <w:r w:rsidRPr="00FC7420">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sidR="004F1B96" w:rsidRPr="00FC7420">
        <w:rPr>
          <w:rFonts w:ascii="Times New Roman" w:hAnsi="Times New Roman" w:cs="Times New Roman"/>
          <w:sz w:val="20"/>
          <w:szCs w:val="20"/>
        </w:rPr>
        <w:t>, 2021</w:t>
      </w:r>
      <w:r w:rsidRPr="00FC7420">
        <w:rPr>
          <w:rFonts w:ascii="Times New Roman" w:hAnsi="Times New Roman" w:cs="Times New Roman"/>
          <w:sz w:val="20"/>
          <w:szCs w:val="20"/>
        </w:rPr>
        <w:t xml:space="preserve"> (20</w:t>
      </w:r>
      <w:r w:rsidR="004F1B96" w:rsidRPr="00FC7420">
        <w:rPr>
          <w:rFonts w:ascii="Times New Roman" w:hAnsi="Times New Roman" w:cs="Times New Roman"/>
          <w:sz w:val="20"/>
          <w:szCs w:val="20"/>
        </w:rPr>
        <w:t>20</w:t>
      </w:r>
      <w:r w:rsidRPr="00FC7420">
        <w:rPr>
          <w:rFonts w:ascii="Times New Roman" w:hAnsi="Times New Roman" w:cs="Times New Roman"/>
          <w:sz w:val="20"/>
          <w:szCs w:val="20"/>
        </w:rPr>
        <w:t xml:space="preserve"> – </w:t>
      </w:r>
      <w:r w:rsidR="004F1B96" w:rsidRPr="00FC7420">
        <w:rPr>
          <w:rFonts w:ascii="Times New Roman" w:hAnsi="Times New Roman" w:cs="Times New Roman"/>
          <w:sz w:val="20"/>
          <w:szCs w:val="20"/>
        </w:rPr>
        <w:t>$</w:t>
      </w:r>
      <w:r w:rsidR="00926258">
        <w:rPr>
          <w:rFonts w:ascii="Times New Roman" w:hAnsi="Times New Roman" w:cs="Times New Roman"/>
          <w:sz w:val="20"/>
          <w:szCs w:val="20"/>
        </w:rPr>
        <w:t>1,</w:t>
      </w:r>
      <w:r w:rsidR="00476289">
        <w:rPr>
          <w:rFonts w:ascii="Times New Roman" w:hAnsi="Times New Roman" w:cs="Times New Roman"/>
          <w:sz w:val="20"/>
          <w:szCs w:val="20"/>
        </w:rPr>
        <w:t>550,684</w:t>
      </w:r>
      <w:r w:rsidRPr="00FC7420">
        <w:rPr>
          <w:rFonts w:ascii="Times New Roman" w:hAnsi="Times New Roman" w:cs="Times New Roman"/>
          <w:sz w:val="20"/>
          <w:szCs w:val="20"/>
        </w:rPr>
        <w:t xml:space="preserve">). The increase in the loss is primarily due to increased operating expenses </w:t>
      </w:r>
      <w:r w:rsidR="00A22A7F">
        <w:rPr>
          <w:rFonts w:ascii="Times New Roman" w:hAnsi="Times New Roman" w:cs="Times New Roman"/>
          <w:sz w:val="20"/>
          <w:szCs w:val="20"/>
        </w:rPr>
        <w:t>as the Company incurred increased administrative costs to facilitate the growth of operations</w:t>
      </w:r>
      <w:r w:rsidRPr="00FC7420">
        <w:rPr>
          <w:rFonts w:ascii="Times New Roman" w:hAnsi="Times New Roman" w:cs="Times New Roman"/>
          <w:sz w:val="20"/>
          <w:szCs w:val="20"/>
        </w:rPr>
        <w:t xml:space="preserve">. </w:t>
      </w:r>
    </w:p>
    <w:p w14:paraId="0162E961" w14:textId="69423D5B" w:rsidR="00BF1655" w:rsidRDefault="00BF1655" w:rsidP="006D7D04">
      <w:pPr>
        <w:spacing w:after="0" w:line="240" w:lineRule="auto"/>
        <w:jc w:val="both"/>
        <w:rPr>
          <w:rFonts w:ascii="Times New Roman" w:hAnsi="Times New Roman" w:cs="Times New Roman"/>
          <w:sz w:val="20"/>
          <w:szCs w:val="20"/>
        </w:rPr>
      </w:pPr>
    </w:p>
    <w:p w14:paraId="578F1491" w14:textId="35821F3D" w:rsidR="00BF1655" w:rsidRPr="00CB4F0F" w:rsidRDefault="00BF1655" w:rsidP="00BF1655">
      <w:pPr>
        <w:spacing w:after="0" w:line="240" w:lineRule="auto"/>
        <w:jc w:val="both"/>
        <w:rPr>
          <w:rFonts w:ascii="Times New Roman" w:hAnsi="Times New Roman" w:cs="Times New Roman"/>
          <w:b/>
          <w:bCs/>
          <w:sz w:val="20"/>
          <w:szCs w:val="20"/>
          <w:lang w:val="en-CA"/>
        </w:rPr>
      </w:pPr>
      <w:r>
        <w:rPr>
          <w:rFonts w:ascii="Times New Roman" w:hAnsi="Times New Roman" w:cs="Times New Roman"/>
          <w:b/>
          <w:bCs/>
          <w:sz w:val="20"/>
          <w:szCs w:val="20"/>
          <w:lang w:val="en-CA"/>
        </w:rPr>
        <w:t>THREE</w:t>
      </w:r>
      <w:r w:rsidRPr="00CB4F0F">
        <w:rPr>
          <w:rFonts w:ascii="Times New Roman" w:hAnsi="Times New Roman" w:cs="Times New Roman"/>
          <w:b/>
          <w:bCs/>
          <w:sz w:val="20"/>
          <w:szCs w:val="20"/>
          <w:lang w:val="en-CA"/>
        </w:rPr>
        <w:t xml:space="preserve"> MONTHS ENDED JUNE 30, 2021</w:t>
      </w:r>
    </w:p>
    <w:p w14:paraId="2714DE83" w14:textId="77777777" w:rsidR="00BF1655" w:rsidRPr="0029508B" w:rsidRDefault="00BF1655" w:rsidP="00BF1655">
      <w:pPr>
        <w:spacing w:after="0" w:line="240" w:lineRule="auto"/>
        <w:jc w:val="both"/>
        <w:rPr>
          <w:rFonts w:ascii="Times New Roman" w:hAnsi="Times New Roman" w:cs="Times New Roman"/>
          <w:sz w:val="20"/>
          <w:szCs w:val="20"/>
          <w:lang w:val="en-CA"/>
        </w:rPr>
      </w:pPr>
    </w:p>
    <w:p w14:paraId="66A90747" w14:textId="77777777" w:rsidR="00BF1655" w:rsidRPr="00B91F50" w:rsidRDefault="00BF1655" w:rsidP="00BF1655">
      <w:pPr>
        <w:spacing w:after="0" w:line="240" w:lineRule="auto"/>
        <w:jc w:val="both"/>
        <w:rPr>
          <w:rFonts w:ascii="Times New Roman" w:hAnsi="Times New Roman" w:cs="Times New Roman"/>
          <w:b/>
          <w:i/>
          <w:sz w:val="20"/>
          <w:szCs w:val="20"/>
        </w:rPr>
      </w:pPr>
      <w:r w:rsidRPr="00B91F50">
        <w:rPr>
          <w:rFonts w:ascii="Times New Roman" w:hAnsi="Times New Roman" w:cs="Times New Roman"/>
          <w:b/>
          <w:i/>
          <w:sz w:val="20"/>
          <w:szCs w:val="20"/>
        </w:rPr>
        <w:t>Revenue</w:t>
      </w:r>
    </w:p>
    <w:p w14:paraId="7D8917C4" w14:textId="77777777" w:rsidR="00BF1655" w:rsidRPr="00B91F50" w:rsidRDefault="00BF1655" w:rsidP="00BF1655">
      <w:pPr>
        <w:spacing w:after="0" w:line="240" w:lineRule="auto"/>
        <w:jc w:val="both"/>
        <w:rPr>
          <w:rFonts w:ascii="Times New Roman" w:hAnsi="Times New Roman" w:cs="Times New Roman"/>
          <w:sz w:val="20"/>
          <w:szCs w:val="20"/>
        </w:rPr>
      </w:pPr>
    </w:p>
    <w:p w14:paraId="4AC0AE4F" w14:textId="73DFF46F" w:rsidR="00D21B97" w:rsidRPr="00B91F50" w:rsidRDefault="00D21B97" w:rsidP="00D21B97">
      <w:pPr>
        <w:spacing w:after="0" w:line="240" w:lineRule="auto"/>
        <w:jc w:val="both"/>
        <w:rPr>
          <w:rFonts w:ascii="Times New Roman" w:hAnsi="Times New Roman" w:cs="Times New Roman"/>
          <w:sz w:val="20"/>
          <w:szCs w:val="20"/>
        </w:rPr>
      </w:pPr>
      <w:r w:rsidRPr="00B91F50">
        <w:rPr>
          <w:rFonts w:ascii="Times New Roman" w:hAnsi="Times New Roman" w:cs="Times New Roman"/>
          <w:sz w:val="20"/>
          <w:szCs w:val="20"/>
        </w:rPr>
        <w:t xml:space="preserve">The </w:t>
      </w:r>
      <w:r>
        <w:rPr>
          <w:rFonts w:ascii="Times New Roman" w:hAnsi="Times New Roman" w:cs="Times New Roman"/>
          <w:sz w:val="20"/>
          <w:szCs w:val="20"/>
        </w:rPr>
        <w:t>Company</w:t>
      </w:r>
      <w:r w:rsidRPr="00B91F50">
        <w:rPr>
          <w:rFonts w:ascii="Times New Roman" w:hAnsi="Times New Roman" w:cs="Times New Roman"/>
          <w:sz w:val="20"/>
          <w:szCs w:val="20"/>
        </w:rPr>
        <w:t xml:space="preserve"> generated interest revenue </w:t>
      </w:r>
      <w:r>
        <w:rPr>
          <w:rFonts w:ascii="Times New Roman" w:hAnsi="Times New Roman" w:cs="Times New Roman"/>
          <w:sz w:val="20"/>
          <w:szCs w:val="20"/>
        </w:rPr>
        <w:t xml:space="preserve">from its loan portfolio </w:t>
      </w:r>
      <w:r w:rsidRPr="00FD127B">
        <w:rPr>
          <w:rFonts w:ascii="Times New Roman" w:hAnsi="Times New Roman" w:cs="Times New Roman"/>
          <w:sz w:val="20"/>
          <w:szCs w:val="20"/>
        </w:rPr>
        <w:t xml:space="preserve">of </w:t>
      </w:r>
      <w:r w:rsidRPr="002C51FD">
        <w:rPr>
          <w:rFonts w:ascii="Times New Roman" w:hAnsi="Times New Roman" w:cs="Times New Roman"/>
          <w:sz w:val="20"/>
          <w:szCs w:val="20"/>
        </w:rPr>
        <w:t>$</w:t>
      </w:r>
      <w:r>
        <w:rPr>
          <w:rFonts w:ascii="Times New Roman" w:hAnsi="Times New Roman" w:cs="Times New Roman"/>
          <w:sz w:val="20"/>
          <w:szCs w:val="20"/>
        </w:rPr>
        <w:t xml:space="preserve">167,993 </w:t>
      </w:r>
      <w:r w:rsidRPr="00FD127B">
        <w:rPr>
          <w:rFonts w:ascii="Times New Roman" w:hAnsi="Times New Roman" w:cs="Times New Roman"/>
          <w:sz w:val="20"/>
          <w:szCs w:val="20"/>
        </w:rPr>
        <w:t xml:space="preserve">for the </w:t>
      </w:r>
      <w:r>
        <w:rPr>
          <w:rFonts w:ascii="Times New Roman" w:hAnsi="Times New Roman" w:cs="Times New Roman"/>
          <w:sz w:val="20"/>
          <w:szCs w:val="20"/>
        </w:rPr>
        <w:t>three months</w:t>
      </w:r>
      <w:r w:rsidRPr="00FD127B">
        <w:rPr>
          <w:rFonts w:ascii="Times New Roman" w:hAnsi="Times New Roman" w:cs="Times New Roman"/>
          <w:sz w:val="20"/>
          <w:szCs w:val="20"/>
        </w:rPr>
        <w:t xml:space="preserve"> ended </w:t>
      </w:r>
      <w:r>
        <w:rPr>
          <w:rFonts w:ascii="Times New Roman" w:hAnsi="Times New Roman" w:cs="Times New Roman"/>
          <w:sz w:val="20"/>
          <w:szCs w:val="20"/>
        </w:rPr>
        <w:t>June 30</w:t>
      </w:r>
      <w:r w:rsidRPr="00FD127B">
        <w:rPr>
          <w:rFonts w:ascii="Times New Roman" w:hAnsi="Times New Roman" w:cs="Times New Roman"/>
          <w:sz w:val="20"/>
          <w:szCs w:val="20"/>
        </w:rPr>
        <w:t>, 202</w:t>
      </w:r>
      <w:r>
        <w:rPr>
          <w:rFonts w:ascii="Times New Roman" w:hAnsi="Times New Roman" w:cs="Times New Roman"/>
          <w:sz w:val="20"/>
          <w:szCs w:val="20"/>
        </w:rPr>
        <w:t>1</w:t>
      </w:r>
      <w:r w:rsidRPr="00FD127B">
        <w:rPr>
          <w:rFonts w:ascii="Times New Roman" w:hAnsi="Times New Roman" w:cs="Times New Roman"/>
          <w:sz w:val="20"/>
          <w:szCs w:val="20"/>
        </w:rPr>
        <w:t xml:space="preserve"> (2020 - $</w:t>
      </w:r>
      <w:r>
        <w:rPr>
          <w:rFonts w:ascii="Times New Roman" w:hAnsi="Times New Roman" w:cs="Times New Roman"/>
          <w:sz w:val="20"/>
          <w:szCs w:val="20"/>
        </w:rPr>
        <w:t>185,948</w:t>
      </w:r>
      <w:r w:rsidRPr="00FD127B">
        <w:rPr>
          <w:rFonts w:ascii="Times New Roman" w:hAnsi="Times New Roman" w:cs="Times New Roman"/>
          <w:sz w:val="20"/>
          <w:szCs w:val="20"/>
        </w:rPr>
        <w:t>). The decrease is primarily due to a lower number of consumer loans outstanding during the period.</w:t>
      </w:r>
      <w:r>
        <w:rPr>
          <w:rFonts w:ascii="Times New Roman" w:hAnsi="Times New Roman" w:cs="Times New Roman"/>
          <w:sz w:val="20"/>
          <w:szCs w:val="20"/>
        </w:rPr>
        <w:t xml:space="preserve"> </w:t>
      </w:r>
    </w:p>
    <w:p w14:paraId="5CEBDD52" w14:textId="77777777" w:rsidR="00D21B97" w:rsidRPr="00152D99" w:rsidRDefault="00D21B97" w:rsidP="00D21B97">
      <w:pPr>
        <w:pStyle w:val="ListParagraph"/>
        <w:spacing w:after="0" w:line="240" w:lineRule="auto"/>
        <w:ind w:left="785"/>
        <w:contextualSpacing w:val="0"/>
        <w:jc w:val="both"/>
        <w:rPr>
          <w:rFonts w:ascii="Times New Roman" w:hAnsi="Times New Roman" w:cs="Times New Roman"/>
          <w:sz w:val="20"/>
          <w:szCs w:val="20"/>
        </w:rPr>
      </w:pPr>
    </w:p>
    <w:p w14:paraId="5F967DB6" w14:textId="18A46A6D" w:rsidR="00D21B97" w:rsidRPr="00B91F50" w:rsidRDefault="00BF0B78" w:rsidP="00D21B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the three months ended June 30, 2021, t</w:t>
      </w:r>
      <w:r w:rsidR="00D21B97" w:rsidRPr="00B91F50">
        <w:rPr>
          <w:rFonts w:ascii="Times New Roman" w:hAnsi="Times New Roman" w:cs="Times New Roman"/>
          <w:sz w:val="20"/>
          <w:szCs w:val="20"/>
        </w:rPr>
        <w:t xml:space="preserve">he </w:t>
      </w:r>
      <w:r w:rsidR="00D21B97">
        <w:rPr>
          <w:rFonts w:ascii="Times New Roman" w:hAnsi="Times New Roman" w:cs="Times New Roman"/>
          <w:sz w:val="20"/>
          <w:szCs w:val="20"/>
        </w:rPr>
        <w:t>Company</w:t>
      </w:r>
      <w:r w:rsidR="00D21B97" w:rsidRPr="00B91F50">
        <w:rPr>
          <w:rFonts w:ascii="Times New Roman" w:hAnsi="Times New Roman" w:cs="Times New Roman"/>
          <w:sz w:val="20"/>
          <w:szCs w:val="20"/>
        </w:rPr>
        <w:t xml:space="preserve"> generated </w:t>
      </w:r>
      <w:r w:rsidR="00D21B97" w:rsidRPr="002C783B">
        <w:rPr>
          <w:rFonts w:ascii="Times New Roman" w:hAnsi="Times New Roman" w:cs="Times New Roman"/>
          <w:sz w:val="20"/>
          <w:szCs w:val="20"/>
        </w:rPr>
        <w:t>$</w:t>
      </w:r>
      <w:r w:rsidR="00BB62BF">
        <w:rPr>
          <w:rFonts w:ascii="Times New Roman" w:hAnsi="Times New Roman" w:cs="Times New Roman"/>
          <w:sz w:val="20"/>
          <w:szCs w:val="20"/>
        </w:rPr>
        <w:t>10,831</w:t>
      </w:r>
      <w:r w:rsidR="00D21B97" w:rsidRPr="002C783B">
        <w:rPr>
          <w:rFonts w:ascii="Times New Roman" w:hAnsi="Times New Roman" w:cs="Times New Roman"/>
          <w:sz w:val="20"/>
          <w:szCs w:val="20"/>
        </w:rPr>
        <w:t xml:space="preserve"> (2020 – $</w:t>
      </w:r>
      <w:r w:rsidR="00BB62BF">
        <w:rPr>
          <w:rFonts w:ascii="Times New Roman" w:hAnsi="Times New Roman" w:cs="Times New Roman"/>
          <w:sz w:val="20"/>
          <w:szCs w:val="20"/>
        </w:rPr>
        <w:t>25,957</w:t>
      </w:r>
      <w:r w:rsidR="00D21B97">
        <w:rPr>
          <w:rFonts w:ascii="Times New Roman" w:hAnsi="Times New Roman" w:cs="Times New Roman"/>
          <w:sz w:val="20"/>
          <w:szCs w:val="20"/>
        </w:rPr>
        <w:t xml:space="preserve">) of service fees and other income, </w:t>
      </w:r>
      <w:r w:rsidR="00D21B97" w:rsidRPr="00B91F50">
        <w:rPr>
          <w:rFonts w:ascii="Times New Roman" w:hAnsi="Times New Roman" w:cs="Times New Roman"/>
          <w:sz w:val="20"/>
          <w:szCs w:val="20"/>
        </w:rPr>
        <w:t xml:space="preserve">primarily related </w:t>
      </w:r>
      <w:r w:rsidR="00D21B97">
        <w:rPr>
          <w:rFonts w:ascii="Times New Roman" w:hAnsi="Times New Roman" w:cs="Times New Roman"/>
          <w:sz w:val="20"/>
          <w:szCs w:val="20"/>
        </w:rPr>
        <w:t xml:space="preserve">to the present value discount received from customer loan payments, </w:t>
      </w:r>
      <w:r w:rsidR="00D21B97" w:rsidRPr="002C783B">
        <w:rPr>
          <w:rFonts w:ascii="Times New Roman" w:hAnsi="Times New Roman" w:cs="Times New Roman"/>
          <w:sz w:val="20"/>
          <w:szCs w:val="20"/>
        </w:rPr>
        <w:t>subscription fees of $</w:t>
      </w:r>
      <w:r w:rsidR="00BB62BF">
        <w:rPr>
          <w:rFonts w:ascii="Times New Roman" w:hAnsi="Times New Roman" w:cs="Times New Roman"/>
          <w:sz w:val="20"/>
          <w:szCs w:val="20"/>
        </w:rPr>
        <w:t>78,265</w:t>
      </w:r>
      <w:r w:rsidR="00D21B97" w:rsidRPr="002C783B">
        <w:rPr>
          <w:rFonts w:ascii="Times New Roman" w:hAnsi="Times New Roman" w:cs="Times New Roman"/>
          <w:sz w:val="20"/>
          <w:szCs w:val="20"/>
        </w:rPr>
        <w:t xml:space="preserve"> (2020 – $</w:t>
      </w:r>
      <w:r w:rsidR="00BB62BF">
        <w:rPr>
          <w:rFonts w:ascii="Times New Roman" w:hAnsi="Times New Roman" w:cs="Times New Roman"/>
          <w:sz w:val="20"/>
          <w:szCs w:val="20"/>
        </w:rPr>
        <w:t>44,098</w:t>
      </w:r>
      <w:r w:rsidR="00D21B97" w:rsidRPr="002C783B">
        <w:rPr>
          <w:rFonts w:ascii="Times New Roman" w:hAnsi="Times New Roman" w:cs="Times New Roman"/>
          <w:sz w:val="20"/>
          <w:szCs w:val="20"/>
        </w:rPr>
        <w:t xml:space="preserve">) from subscriptions of Score-Up and $125,298 (2020 - $nil) of verification fees generated from </w:t>
      </w:r>
      <w:proofErr w:type="spellStart"/>
      <w:r w:rsidR="00D21B97" w:rsidRPr="002C783B">
        <w:rPr>
          <w:rFonts w:ascii="Times New Roman" w:hAnsi="Times New Roman" w:cs="Times New Roman"/>
          <w:sz w:val="20"/>
          <w:szCs w:val="20"/>
        </w:rPr>
        <w:t>Inverite</w:t>
      </w:r>
      <w:proofErr w:type="spellEnd"/>
      <w:r w:rsidR="00D21B97" w:rsidRPr="00B91F50">
        <w:rPr>
          <w:rFonts w:ascii="Times New Roman" w:hAnsi="Times New Roman" w:cs="Times New Roman"/>
          <w:sz w:val="20"/>
          <w:szCs w:val="20"/>
        </w:rPr>
        <w:t>.</w:t>
      </w:r>
    </w:p>
    <w:p w14:paraId="2B6190AD" w14:textId="77777777" w:rsidR="00D21B97" w:rsidRDefault="00D21B97" w:rsidP="00D21B97">
      <w:pPr>
        <w:spacing w:after="0" w:line="240" w:lineRule="auto"/>
        <w:rPr>
          <w:rFonts w:ascii="Times New Roman" w:hAnsi="Times New Roman" w:cs="Times New Roman"/>
          <w:b/>
          <w:i/>
          <w:sz w:val="20"/>
          <w:szCs w:val="20"/>
        </w:rPr>
      </w:pPr>
    </w:p>
    <w:p w14:paraId="58F8035B" w14:textId="7693A931" w:rsidR="00D21B97" w:rsidRPr="001D534D" w:rsidRDefault="00BF0B78" w:rsidP="00D21B97">
      <w:pPr>
        <w:spacing w:after="0" w:line="240" w:lineRule="auto"/>
        <w:rPr>
          <w:rFonts w:ascii="Times New Roman" w:hAnsi="Times New Roman" w:cs="Times New Roman"/>
          <w:b/>
          <w:i/>
          <w:sz w:val="20"/>
          <w:szCs w:val="20"/>
        </w:rPr>
      </w:pPr>
      <w:r>
        <w:rPr>
          <w:rFonts w:ascii="Times New Roman" w:hAnsi="Times New Roman" w:cs="Times New Roman"/>
          <w:b/>
          <w:i/>
          <w:sz w:val="20"/>
          <w:szCs w:val="20"/>
        </w:rPr>
        <w:t>I</w:t>
      </w:r>
      <w:r w:rsidR="00D21B97" w:rsidRPr="001D534D">
        <w:rPr>
          <w:rFonts w:ascii="Times New Roman" w:hAnsi="Times New Roman" w:cs="Times New Roman"/>
          <w:b/>
          <w:i/>
          <w:sz w:val="20"/>
          <w:szCs w:val="20"/>
        </w:rPr>
        <w:t>nterest expense</w:t>
      </w:r>
    </w:p>
    <w:p w14:paraId="3DA590FA" w14:textId="77777777" w:rsidR="00D21B97" w:rsidRPr="001D534D" w:rsidRDefault="00D21B97" w:rsidP="00D21B97">
      <w:pPr>
        <w:pStyle w:val="ListParagraph"/>
        <w:spacing w:after="0" w:line="240" w:lineRule="auto"/>
        <w:contextualSpacing w:val="0"/>
        <w:jc w:val="both"/>
        <w:rPr>
          <w:rFonts w:ascii="Times New Roman" w:hAnsi="Times New Roman" w:cs="Times New Roman"/>
          <w:sz w:val="20"/>
          <w:szCs w:val="20"/>
        </w:rPr>
      </w:pPr>
    </w:p>
    <w:p w14:paraId="13B79546" w14:textId="43142319" w:rsidR="00D21B97" w:rsidRPr="001D534D" w:rsidRDefault="00D21B97" w:rsidP="00D21B9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The </w:t>
      </w:r>
      <w:r>
        <w:rPr>
          <w:rFonts w:ascii="Times New Roman" w:hAnsi="Times New Roman" w:cs="Times New Roman"/>
          <w:sz w:val="20"/>
          <w:szCs w:val="20"/>
        </w:rPr>
        <w:t>Company</w:t>
      </w:r>
      <w:r w:rsidRPr="001D534D">
        <w:rPr>
          <w:rFonts w:ascii="Times New Roman" w:hAnsi="Times New Roman" w:cs="Times New Roman"/>
          <w:sz w:val="20"/>
          <w:szCs w:val="20"/>
        </w:rPr>
        <w:t xml:space="preserve"> incurred </w:t>
      </w:r>
      <w:r>
        <w:rPr>
          <w:rFonts w:ascii="Times New Roman" w:hAnsi="Times New Roman" w:cs="Times New Roman"/>
          <w:sz w:val="20"/>
          <w:szCs w:val="20"/>
        </w:rPr>
        <w:t xml:space="preserve">bond </w:t>
      </w:r>
      <w:r w:rsidRPr="001D534D">
        <w:rPr>
          <w:rFonts w:ascii="Times New Roman" w:hAnsi="Times New Roman" w:cs="Times New Roman"/>
          <w:sz w:val="20"/>
          <w:szCs w:val="20"/>
        </w:rPr>
        <w:t xml:space="preserve">interest expense </w:t>
      </w:r>
      <w:r w:rsidRPr="00C17E79">
        <w:rPr>
          <w:rFonts w:ascii="Times New Roman" w:hAnsi="Times New Roman" w:cs="Times New Roman"/>
          <w:sz w:val="20"/>
          <w:szCs w:val="20"/>
        </w:rPr>
        <w:t>of $</w:t>
      </w:r>
      <w:r w:rsidR="00BB62BF">
        <w:rPr>
          <w:rFonts w:ascii="Times New Roman" w:hAnsi="Times New Roman" w:cs="Times New Roman"/>
          <w:sz w:val="20"/>
          <w:szCs w:val="20"/>
        </w:rPr>
        <w:t>112,477</w:t>
      </w:r>
      <w:r w:rsidRPr="00FD127B">
        <w:rPr>
          <w:rFonts w:ascii="Times New Roman" w:hAnsi="Times New Roman" w:cs="Times New Roman"/>
          <w:sz w:val="20"/>
          <w:szCs w:val="20"/>
        </w:rPr>
        <w:t xml:space="preserve"> for the </w:t>
      </w:r>
      <w:r w:rsidR="00BB62BF">
        <w:rPr>
          <w:rFonts w:ascii="Times New Roman" w:hAnsi="Times New Roman" w:cs="Times New Roman"/>
          <w:sz w:val="20"/>
          <w:szCs w:val="20"/>
        </w:rPr>
        <w:t>three</w:t>
      </w:r>
      <w:r>
        <w:rPr>
          <w:rFonts w:ascii="Times New Roman" w:hAnsi="Times New Roman" w:cs="Times New Roman"/>
          <w:sz w:val="20"/>
          <w:szCs w:val="20"/>
        </w:rPr>
        <w:t xml:space="preserve"> months</w:t>
      </w:r>
      <w:r w:rsidRPr="00FD127B">
        <w:rPr>
          <w:rFonts w:ascii="Times New Roman" w:hAnsi="Times New Roman" w:cs="Times New Roman"/>
          <w:sz w:val="20"/>
          <w:szCs w:val="20"/>
        </w:rPr>
        <w:t xml:space="preserve"> ended </w:t>
      </w:r>
      <w:r>
        <w:rPr>
          <w:rFonts w:ascii="Times New Roman" w:hAnsi="Times New Roman" w:cs="Times New Roman"/>
          <w:sz w:val="20"/>
          <w:szCs w:val="20"/>
        </w:rPr>
        <w:t>June 30</w:t>
      </w:r>
      <w:r w:rsidRPr="00FD127B">
        <w:rPr>
          <w:rFonts w:ascii="Times New Roman" w:hAnsi="Times New Roman" w:cs="Times New Roman"/>
          <w:sz w:val="20"/>
          <w:szCs w:val="20"/>
        </w:rPr>
        <w:t xml:space="preserve">, 2021 (2020 </w:t>
      </w:r>
      <w:r w:rsidRPr="00C17E79">
        <w:rPr>
          <w:rFonts w:ascii="Times New Roman" w:hAnsi="Times New Roman" w:cs="Times New Roman"/>
          <w:sz w:val="20"/>
          <w:szCs w:val="20"/>
        </w:rPr>
        <w:t>- $</w:t>
      </w:r>
      <w:r w:rsidR="00BB62BF">
        <w:rPr>
          <w:rFonts w:ascii="Times New Roman" w:hAnsi="Times New Roman" w:cs="Times New Roman"/>
          <w:sz w:val="20"/>
          <w:szCs w:val="20"/>
        </w:rPr>
        <w:t>125,011</w:t>
      </w:r>
      <w:r w:rsidRPr="00FD127B">
        <w:rPr>
          <w:rFonts w:ascii="Times New Roman" w:hAnsi="Times New Roman" w:cs="Times New Roman"/>
          <w:sz w:val="20"/>
          <w:szCs w:val="20"/>
        </w:rPr>
        <w:t>).</w:t>
      </w:r>
      <w:r w:rsidRPr="001D534D">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4E658BA" w14:textId="77777777" w:rsidR="00D21B97" w:rsidRDefault="00D21B97" w:rsidP="00D21B97">
      <w:pPr>
        <w:spacing w:after="0" w:line="240" w:lineRule="auto"/>
        <w:rPr>
          <w:rFonts w:ascii="Times New Roman" w:hAnsi="Times New Roman" w:cs="Times New Roman"/>
          <w:b/>
          <w:i/>
          <w:sz w:val="20"/>
          <w:szCs w:val="20"/>
          <w:highlight w:val="yellow"/>
        </w:rPr>
      </w:pPr>
    </w:p>
    <w:p w14:paraId="13E69730" w14:textId="77777777" w:rsidR="00D21B97" w:rsidRPr="00152D99" w:rsidRDefault="00D21B97" w:rsidP="00D21B97">
      <w:pPr>
        <w:spacing w:after="0" w:line="240" w:lineRule="auto"/>
        <w:rPr>
          <w:rFonts w:ascii="Times New Roman" w:hAnsi="Times New Roman" w:cs="Times New Roman"/>
          <w:b/>
          <w:i/>
          <w:sz w:val="20"/>
          <w:szCs w:val="20"/>
        </w:rPr>
      </w:pPr>
      <w:r w:rsidRPr="00152D99">
        <w:rPr>
          <w:rFonts w:ascii="Times New Roman" w:hAnsi="Times New Roman" w:cs="Times New Roman"/>
          <w:b/>
          <w:i/>
          <w:sz w:val="20"/>
          <w:szCs w:val="20"/>
        </w:rPr>
        <w:t>Bad debt expense</w:t>
      </w:r>
    </w:p>
    <w:p w14:paraId="1042C815" w14:textId="77777777" w:rsidR="00D21B97" w:rsidRPr="00152D99" w:rsidRDefault="00D21B97" w:rsidP="00D21B97">
      <w:pPr>
        <w:spacing w:after="0" w:line="240" w:lineRule="auto"/>
        <w:rPr>
          <w:rFonts w:ascii="Times New Roman" w:hAnsi="Times New Roman" w:cs="Times New Roman"/>
          <w:b/>
          <w:i/>
          <w:sz w:val="20"/>
          <w:szCs w:val="20"/>
        </w:rPr>
      </w:pPr>
    </w:p>
    <w:p w14:paraId="6D029795" w14:textId="278651DD" w:rsidR="00D21B97" w:rsidRPr="00473DEB" w:rsidRDefault="00D21B97" w:rsidP="00D21B97">
      <w:pPr>
        <w:spacing w:after="0" w:line="240" w:lineRule="auto"/>
        <w:jc w:val="both"/>
        <w:rPr>
          <w:rFonts w:ascii="Times New Roman" w:hAnsi="Times New Roman" w:cs="Times New Roman"/>
          <w:bCs/>
          <w:iCs/>
          <w:sz w:val="20"/>
          <w:szCs w:val="20"/>
        </w:rPr>
      </w:pPr>
      <w:r w:rsidRPr="00152D99">
        <w:rPr>
          <w:rFonts w:ascii="Times New Roman" w:hAnsi="Times New Roman" w:cs="Times New Roman"/>
          <w:bCs/>
          <w:iCs/>
          <w:sz w:val="20"/>
          <w:szCs w:val="20"/>
        </w:rPr>
        <w:t xml:space="preserve">The </w:t>
      </w:r>
      <w:r>
        <w:rPr>
          <w:rFonts w:ascii="Times New Roman" w:hAnsi="Times New Roman" w:cs="Times New Roman"/>
          <w:bCs/>
          <w:iCs/>
          <w:sz w:val="20"/>
          <w:szCs w:val="20"/>
        </w:rPr>
        <w:t>Company</w:t>
      </w:r>
      <w:r w:rsidRPr="00152D99">
        <w:rPr>
          <w:rFonts w:ascii="Times New Roman" w:hAnsi="Times New Roman" w:cs="Times New Roman"/>
          <w:bCs/>
          <w:iCs/>
          <w:sz w:val="20"/>
          <w:szCs w:val="20"/>
        </w:rPr>
        <w:t xml:space="preserve"> recorded bad debt </w:t>
      </w:r>
      <w:r w:rsidR="00BB62BF">
        <w:rPr>
          <w:rFonts w:ascii="Times New Roman" w:hAnsi="Times New Roman" w:cs="Times New Roman"/>
          <w:bCs/>
          <w:iCs/>
          <w:sz w:val="20"/>
          <w:szCs w:val="20"/>
        </w:rPr>
        <w:t>recovery</w:t>
      </w:r>
      <w:r w:rsidRPr="00473DEB">
        <w:rPr>
          <w:rFonts w:ascii="Times New Roman" w:hAnsi="Times New Roman" w:cs="Times New Roman"/>
          <w:bCs/>
          <w:iCs/>
          <w:sz w:val="20"/>
          <w:szCs w:val="20"/>
        </w:rPr>
        <w:t xml:space="preserve"> </w:t>
      </w:r>
      <w:r w:rsidRPr="00C17E79">
        <w:rPr>
          <w:rFonts w:ascii="Times New Roman" w:hAnsi="Times New Roman" w:cs="Times New Roman"/>
          <w:bCs/>
          <w:iCs/>
          <w:sz w:val="20"/>
          <w:szCs w:val="20"/>
        </w:rPr>
        <w:t>of $</w:t>
      </w:r>
      <w:r w:rsidR="00BB62BF">
        <w:rPr>
          <w:rFonts w:ascii="Times New Roman" w:hAnsi="Times New Roman" w:cs="Times New Roman"/>
          <w:bCs/>
          <w:iCs/>
          <w:sz w:val="20"/>
          <w:szCs w:val="20"/>
        </w:rPr>
        <w:t>15,381</w:t>
      </w:r>
      <w:r w:rsidRPr="00C17E79">
        <w:rPr>
          <w:rFonts w:ascii="Times New Roman" w:hAnsi="Times New Roman" w:cs="Times New Roman"/>
          <w:bCs/>
          <w:iCs/>
          <w:sz w:val="20"/>
          <w:szCs w:val="20"/>
        </w:rPr>
        <w:t xml:space="preserve"> for the</w:t>
      </w:r>
      <w:r w:rsidRPr="00473DEB">
        <w:rPr>
          <w:rFonts w:ascii="Times New Roman" w:hAnsi="Times New Roman" w:cs="Times New Roman"/>
          <w:bCs/>
          <w:iCs/>
          <w:sz w:val="20"/>
          <w:szCs w:val="20"/>
        </w:rPr>
        <w:t xml:space="preserve"> </w:t>
      </w:r>
      <w:r w:rsidR="00BB62BF">
        <w:rPr>
          <w:rFonts w:ascii="Times New Roman" w:hAnsi="Times New Roman" w:cs="Times New Roman"/>
          <w:bCs/>
          <w:iCs/>
          <w:sz w:val="20"/>
          <w:szCs w:val="20"/>
        </w:rPr>
        <w:t>three</w:t>
      </w:r>
      <w:r>
        <w:rPr>
          <w:rFonts w:ascii="Times New Roman" w:hAnsi="Times New Roman" w:cs="Times New Roman"/>
          <w:bCs/>
          <w:iCs/>
          <w:sz w:val="20"/>
          <w:szCs w:val="20"/>
        </w:rPr>
        <w:t xml:space="preserve"> months</w:t>
      </w:r>
      <w:r w:rsidRPr="00473DEB">
        <w:rPr>
          <w:rFonts w:ascii="Times New Roman" w:hAnsi="Times New Roman" w:cs="Times New Roman"/>
          <w:bCs/>
          <w:iCs/>
          <w:sz w:val="20"/>
          <w:szCs w:val="20"/>
        </w:rPr>
        <w:t xml:space="preserve"> ended </w:t>
      </w:r>
      <w:r>
        <w:rPr>
          <w:rFonts w:ascii="Times New Roman" w:hAnsi="Times New Roman" w:cs="Times New Roman"/>
          <w:bCs/>
          <w:iCs/>
          <w:sz w:val="20"/>
          <w:szCs w:val="20"/>
        </w:rPr>
        <w:t>June 30</w:t>
      </w:r>
      <w:r w:rsidRPr="00473DEB">
        <w:rPr>
          <w:rFonts w:ascii="Times New Roman" w:hAnsi="Times New Roman" w:cs="Times New Roman"/>
          <w:bCs/>
          <w:iCs/>
          <w:sz w:val="20"/>
          <w:szCs w:val="20"/>
        </w:rPr>
        <w:t xml:space="preserve">, 2021 (2020 </w:t>
      </w:r>
      <w:r w:rsidR="00BB62BF">
        <w:rPr>
          <w:rFonts w:ascii="Times New Roman" w:hAnsi="Times New Roman" w:cs="Times New Roman"/>
          <w:bCs/>
          <w:iCs/>
          <w:sz w:val="20"/>
          <w:szCs w:val="20"/>
        </w:rPr>
        <w:t>–</w:t>
      </w:r>
      <w:r w:rsidRPr="00473DEB">
        <w:rPr>
          <w:rFonts w:ascii="Times New Roman" w:hAnsi="Times New Roman" w:cs="Times New Roman"/>
          <w:bCs/>
          <w:iCs/>
          <w:sz w:val="20"/>
          <w:szCs w:val="20"/>
        </w:rPr>
        <w:t xml:space="preserve"> </w:t>
      </w:r>
      <w:r w:rsidR="00BB62BF">
        <w:rPr>
          <w:rFonts w:ascii="Times New Roman" w:hAnsi="Times New Roman" w:cs="Times New Roman"/>
          <w:bCs/>
          <w:iCs/>
          <w:sz w:val="20"/>
          <w:szCs w:val="20"/>
        </w:rPr>
        <w:t xml:space="preserve">bad debt expense of </w:t>
      </w:r>
      <w:r w:rsidRPr="00473DEB">
        <w:rPr>
          <w:rFonts w:ascii="Times New Roman" w:hAnsi="Times New Roman" w:cs="Times New Roman"/>
          <w:bCs/>
          <w:iCs/>
          <w:sz w:val="20"/>
          <w:szCs w:val="20"/>
        </w:rPr>
        <w:t>$</w:t>
      </w:r>
      <w:r w:rsidR="00BB62BF">
        <w:rPr>
          <w:rFonts w:ascii="Times New Roman" w:hAnsi="Times New Roman" w:cs="Times New Roman"/>
          <w:bCs/>
          <w:iCs/>
          <w:sz w:val="20"/>
          <w:szCs w:val="20"/>
        </w:rPr>
        <w:t>20,878</w:t>
      </w:r>
      <w:r>
        <w:rPr>
          <w:rFonts w:ascii="Times New Roman" w:hAnsi="Times New Roman" w:cs="Times New Roman"/>
          <w:bCs/>
          <w:iCs/>
          <w:sz w:val="20"/>
          <w:szCs w:val="20"/>
        </w:rPr>
        <w:t>).</w:t>
      </w:r>
      <w:r w:rsidRPr="00AF42C7">
        <w:rPr>
          <w:rFonts w:ascii="Times New Roman" w:hAnsi="Times New Roman" w:cs="Times New Roman"/>
          <w:bCs/>
          <w:iCs/>
          <w:sz w:val="20"/>
          <w:szCs w:val="20"/>
        </w:rPr>
        <w:t xml:space="preserve"> </w:t>
      </w:r>
      <w:r w:rsidRPr="00152D99">
        <w:rPr>
          <w:rFonts w:ascii="Times New Roman" w:hAnsi="Times New Roman" w:cs="Times New Roman"/>
          <w:bCs/>
          <w:iCs/>
          <w:sz w:val="20"/>
          <w:szCs w:val="20"/>
        </w:rPr>
        <w:t>The</w:t>
      </w:r>
      <w:r w:rsidR="00BB62BF">
        <w:rPr>
          <w:rFonts w:ascii="Times New Roman" w:hAnsi="Times New Roman" w:cs="Times New Roman"/>
          <w:bCs/>
          <w:iCs/>
          <w:sz w:val="20"/>
          <w:szCs w:val="20"/>
        </w:rPr>
        <w:t xml:space="preserve"> decrease</w:t>
      </w:r>
      <w:r w:rsidRPr="00152D99">
        <w:rPr>
          <w:rFonts w:ascii="Times New Roman" w:hAnsi="Times New Roman" w:cs="Times New Roman"/>
          <w:bCs/>
          <w:iCs/>
          <w:sz w:val="20"/>
          <w:szCs w:val="20"/>
        </w:rPr>
        <w:t xml:space="preserve"> of bad debt</w:t>
      </w:r>
      <w:r>
        <w:rPr>
          <w:rFonts w:ascii="Times New Roman" w:hAnsi="Times New Roman" w:cs="Times New Roman"/>
          <w:bCs/>
          <w:iCs/>
          <w:sz w:val="20"/>
          <w:szCs w:val="20"/>
        </w:rPr>
        <w:t xml:space="preserve"> expense</w:t>
      </w:r>
      <w:r w:rsidRPr="00152D99">
        <w:rPr>
          <w:rFonts w:ascii="Times New Roman" w:hAnsi="Times New Roman" w:cs="Times New Roman"/>
          <w:bCs/>
          <w:iCs/>
          <w:sz w:val="20"/>
          <w:szCs w:val="20"/>
        </w:rPr>
        <w:t xml:space="preserve"> is a result </w:t>
      </w:r>
      <w:r>
        <w:rPr>
          <w:rFonts w:ascii="Times New Roman" w:hAnsi="Times New Roman" w:cs="Times New Roman"/>
          <w:bCs/>
          <w:iCs/>
          <w:sz w:val="20"/>
          <w:szCs w:val="20"/>
        </w:rPr>
        <w:t xml:space="preserve">of increased </w:t>
      </w:r>
      <w:r w:rsidR="00BB62BF">
        <w:rPr>
          <w:rFonts w:ascii="Times New Roman" w:hAnsi="Times New Roman" w:cs="Times New Roman"/>
          <w:bCs/>
          <w:iCs/>
          <w:sz w:val="20"/>
          <w:szCs w:val="20"/>
        </w:rPr>
        <w:t>efforts and arrangements to collect on previously written off loans.</w:t>
      </w:r>
    </w:p>
    <w:p w14:paraId="177E13AF" w14:textId="77777777" w:rsidR="00D21B97" w:rsidRPr="003D68E7" w:rsidRDefault="00D21B97" w:rsidP="00D21B97">
      <w:pPr>
        <w:spacing w:after="0" w:line="240" w:lineRule="auto"/>
        <w:jc w:val="both"/>
        <w:rPr>
          <w:rFonts w:ascii="Times New Roman" w:hAnsi="Times New Roman" w:cs="Times New Roman"/>
          <w:b/>
          <w:i/>
          <w:sz w:val="20"/>
          <w:szCs w:val="20"/>
        </w:rPr>
      </w:pPr>
    </w:p>
    <w:p w14:paraId="5AC5F16C" w14:textId="77777777" w:rsidR="00D21B97" w:rsidRPr="001D69AA" w:rsidRDefault="00D21B97" w:rsidP="00D21B97">
      <w:pPr>
        <w:spacing w:after="0" w:line="240" w:lineRule="auto"/>
        <w:rPr>
          <w:rFonts w:ascii="Times New Roman" w:hAnsi="Times New Roman" w:cs="Times New Roman"/>
          <w:b/>
          <w:i/>
          <w:sz w:val="20"/>
          <w:szCs w:val="20"/>
        </w:rPr>
      </w:pPr>
      <w:r w:rsidRPr="001D69AA">
        <w:rPr>
          <w:rFonts w:ascii="Times New Roman" w:hAnsi="Times New Roman" w:cs="Times New Roman"/>
          <w:b/>
          <w:i/>
          <w:sz w:val="20"/>
          <w:szCs w:val="20"/>
        </w:rPr>
        <w:t>Gross Profit</w:t>
      </w:r>
    </w:p>
    <w:p w14:paraId="76CB95B2" w14:textId="77777777" w:rsidR="00D21B97" w:rsidRPr="001D69AA" w:rsidRDefault="00D21B97" w:rsidP="00D21B97">
      <w:pPr>
        <w:spacing w:after="0" w:line="240" w:lineRule="auto"/>
        <w:rPr>
          <w:rFonts w:ascii="Times New Roman" w:hAnsi="Times New Roman" w:cs="Times New Roman"/>
          <w:b/>
          <w:i/>
          <w:sz w:val="20"/>
          <w:szCs w:val="20"/>
        </w:rPr>
      </w:pPr>
    </w:p>
    <w:p w14:paraId="7B3AC938" w14:textId="0C9B7ACE" w:rsidR="00D21B97" w:rsidRDefault="00D21B97" w:rsidP="00D21B97">
      <w:pPr>
        <w:spacing w:after="0" w:line="240" w:lineRule="auto"/>
        <w:jc w:val="both"/>
        <w:rPr>
          <w:rFonts w:ascii="Times New Roman" w:hAnsi="Times New Roman" w:cs="Times New Roman"/>
          <w:sz w:val="20"/>
          <w:szCs w:val="20"/>
        </w:rPr>
      </w:pPr>
      <w:r w:rsidRPr="001D69AA">
        <w:rPr>
          <w:rFonts w:ascii="Times New Roman" w:hAnsi="Times New Roman" w:cs="Times New Roman"/>
          <w:sz w:val="20"/>
          <w:szCs w:val="20"/>
        </w:rPr>
        <w:t xml:space="preserve">The </w:t>
      </w:r>
      <w:r>
        <w:rPr>
          <w:rFonts w:ascii="Times New Roman" w:hAnsi="Times New Roman" w:cs="Times New Roman"/>
          <w:sz w:val="20"/>
          <w:szCs w:val="20"/>
        </w:rPr>
        <w:t>Company</w:t>
      </w:r>
      <w:r w:rsidRPr="001D69AA">
        <w:rPr>
          <w:rFonts w:ascii="Times New Roman" w:hAnsi="Times New Roman" w:cs="Times New Roman"/>
          <w:sz w:val="20"/>
          <w:szCs w:val="20"/>
        </w:rPr>
        <w:t xml:space="preserve"> generated </w:t>
      </w:r>
      <w:r w:rsidR="009D1834">
        <w:rPr>
          <w:rFonts w:ascii="Times New Roman" w:hAnsi="Times New Roman" w:cs="Times New Roman"/>
          <w:sz w:val="20"/>
          <w:szCs w:val="20"/>
        </w:rPr>
        <w:t>net interest revenue</w:t>
      </w:r>
      <w:r>
        <w:rPr>
          <w:rFonts w:ascii="Times New Roman" w:hAnsi="Times New Roman" w:cs="Times New Roman"/>
          <w:sz w:val="20"/>
          <w:szCs w:val="20"/>
        </w:rPr>
        <w:t xml:space="preserve"> </w:t>
      </w:r>
      <w:r w:rsidRPr="009C664B">
        <w:rPr>
          <w:rFonts w:ascii="Times New Roman" w:hAnsi="Times New Roman" w:cs="Times New Roman"/>
          <w:sz w:val="20"/>
          <w:szCs w:val="20"/>
        </w:rPr>
        <w:t>of $</w:t>
      </w:r>
      <w:r w:rsidR="009D1834" w:rsidRPr="009D1834">
        <w:rPr>
          <w:rFonts w:ascii="Times New Roman" w:hAnsi="Times New Roman" w:cs="Times New Roman"/>
          <w:sz w:val="20"/>
          <w:szCs w:val="20"/>
        </w:rPr>
        <w:t>55,516</w:t>
      </w:r>
      <w:r w:rsidRPr="00D7548F">
        <w:rPr>
          <w:rFonts w:ascii="Times New Roman" w:hAnsi="Times New Roman" w:cs="Times New Roman"/>
          <w:sz w:val="20"/>
          <w:szCs w:val="20"/>
        </w:rPr>
        <w:t xml:space="preserve"> for the </w:t>
      </w:r>
      <w:r w:rsidR="00BB62BF">
        <w:rPr>
          <w:rFonts w:ascii="Times New Roman" w:hAnsi="Times New Roman" w:cs="Times New Roman"/>
          <w:sz w:val="20"/>
          <w:szCs w:val="20"/>
        </w:rPr>
        <w:t>three</w:t>
      </w:r>
      <w:r>
        <w:rPr>
          <w:rFonts w:ascii="Times New Roman" w:hAnsi="Times New Roman" w:cs="Times New Roman"/>
          <w:sz w:val="20"/>
          <w:szCs w:val="20"/>
        </w:rPr>
        <w:t xml:space="preserve"> months </w:t>
      </w:r>
      <w:r w:rsidRPr="00D7548F">
        <w:rPr>
          <w:rFonts w:ascii="Times New Roman" w:hAnsi="Times New Roman" w:cs="Times New Roman"/>
          <w:sz w:val="20"/>
          <w:szCs w:val="20"/>
        </w:rPr>
        <w:t xml:space="preserve">ended </w:t>
      </w:r>
      <w:r>
        <w:rPr>
          <w:rFonts w:ascii="Times New Roman" w:hAnsi="Times New Roman" w:cs="Times New Roman"/>
          <w:sz w:val="20"/>
          <w:szCs w:val="20"/>
        </w:rPr>
        <w:t>June 30</w:t>
      </w:r>
      <w:r w:rsidRPr="00D7548F">
        <w:rPr>
          <w:rFonts w:ascii="Times New Roman" w:hAnsi="Times New Roman" w:cs="Times New Roman"/>
          <w:sz w:val="20"/>
          <w:szCs w:val="20"/>
        </w:rPr>
        <w:t>, 2021</w:t>
      </w:r>
      <w:r w:rsidRPr="001D69AA">
        <w:rPr>
          <w:rFonts w:ascii="Times New Roman" w:hAnsi="Times New Roman" w:cs="Times New Roman"/>
          <w:sz w:val="20"/>
          <w:szCs w:val="20"/>
        </w:rPr>
        <w:t xml:space="preserve"> (20</w:t>
      </w:r>
      <w:r>
        <w:rPr>
          <w:rFonts w:ascii="Times New Roman" w:hAnsi="Times New Roman" w:cs="Times New Roman"/>
          <w:sz w:val="20"/>
          <w:szCs w:val="20"/>
        </w:rPr>
        <w:t>20</w:t>
      </w:r>
      <w:r w:rsidRPr="001D69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69AA">
        <w:rPr>
          <w:rFonts w:ascii="Times New Roman" w:hAnsi="Times New Roman" w:cs="Times New Roman"/>
          <w:sz w:val="20"/>
          <w:szCs w:val="20"/>
        </w:rPr>
        <w:t>$</w:t>
      </w:r>
      <w:r w:rsidR="009D1834" w:rsidRPr="009D1834">
        <w:rPr>
          <w:rFonts w:ascii="Times New Roman" w:hAnsi="Times New Roman" w:cs="Times New Roman"/>
          <w:sz w:val="20"/>
          <w:szCs w:val="20"/>
        </w:rPr>
        <w:t>60,937</w:t>
      </w:r>
      <w:r w:rsidRPr="001D69AA">
        <w:rPr>
          <w:rFonts w:ascii="Times New Roman" w:hAnsi="Times New Roman" w:cs="Times New Roman"/>
          <w:sz w:val="20"/>
          <w:szCs w:val="20"/>
        </w:rPr>
        <w:t xml:space="preserve">).  </w:t>
      </w:r>
      <w:r w:rsidRPr="00FC7420">
        <w:rPr>
          <w:rFonts w:ascii="Times New Roman" w:hAnsi="Times New Roman" w:cs="Times New Roman"/>
          <w:sz w:val="20"/>
          <w:szCs w:val="20"/>
        </w:rPr>
        <w:t xml:space="preserve">The decrease of </w:t>
      </w:r>
      <w:r w:rsidRPr="00D57541">
        <w:rPr>
          <w:rFonts w:ascii="Times New Roman" w:hAnsi="Times New Roman" w:cs="Times New Roman"/>
          <w:sz w:val="20"/>
          <w:szCs w:val="20"/>
        </w:rPr>
        <w:t>$</w:t>
      </w:r>
      <w:r w:rsidR="009D1834">
        <w:rPr>
          <w:rFonts w:ascii="Times New Roman" w:hAnsi="Times New Roman" w:cs="Times New Roman"/>
          <w:sz w:val="20"/>
          <w:szCs w:val="20"/>
        </w:rPr>
        <w:t>5,421</w:t>
      </w:r>
      <w:r w:rsidRPr="00FC7420">
        <w:rPr>
          <w:rFonts w:ascii="Times New Roman" w:hAnsi="Times New Roman" w:cs="Times New Roman"/>
          <w:sz w:val="20"/>
          <w:szCs w:val="20"/>
        </w:rPr>
        <w:t xml:space="preserve"> is</w:t>
      </w:r>
      <w:r>
        <w:rPr>
          <w:rFonts w:ascii="Times New Roman" w:hAnsi="Times New Roman" w:cs="Times New Roman"/>
          <w:sz w:val="20"/>
          <w:szCs w:val="20"/>
        </w:rPr>
        <w:t xml:space="preserve"> largely</w:t>
      </w:r>
      <w:r w:rsidRPr="00FC7420">
        <w:rPr>
          <w:rFonts w:ascii="Times New Roman" w:hAnsi="Times New Roman" w:cs="Times New Roman"/>
          <w:sz w:val="20"/>
          <w:szCs w:val="20"/>
        </w:rPr>
        <w:t xml:space="preserve"> correlated to the </w:t>
      </w:r>
      <w:r>
        <w:rPr>
          <w:rFonts w:ascii="Times New Roman" w:hAnsi="Times New Roman" w:cs="Times New Roman"/>
          <w:sz w:val="20"/>
          <w:szCs w:val="20"/>
        </w:rPr>
        <w:t xml:space="preserve">decreased interest revenue </w:t>
      </w:r>
      <w:r w:rsidR="00EE6DBB">
        <w:rPr>
          <w:rFonts w:ascii="Times New Roman" w:hAnsi="Times New Roman" w:cs="Times New Roman"/>
          <w:sz w:val="20"/>
          <w:szCs w:val="20"/>
        </w:rPr>
        <w:t>due to a lower</w:t>
      </w:r>
      <w:r>
        <w:rPr>
          <w:rFonts w:ascii="Times New Roman" w:hAnsi="Times New Roman" w:cs="Times New Roman"/>
          <w:sz w:val="20"/>
          <w:szCs w:val="20"/>
        </w:rPr>
        <w:t xml:space="preserve"> loan portfolio </w:t>
      </w:r>
      <w:r w:rsidR="00EE6DBB">
        <w:rPr>
          <w:rFonts w:ascii="Times New Roman" w:hAnsi="Times New Roman" w:cs="Times New Roman"/>
          <w:sz w:val="20"/>
          <w:szCs w:val="20"/>
        </w:rPr>
        <w:t>compared to the prior period</w:t>
      </w:r>
      <w:r>
        <w:rPr>
          <w:rFonts w:ascii="Times New Roman" w:hAnsi="Times New Roman" w:cs="Times New Roman"/>
          <w:sz w:val="20"/>
          <w:szCs w:val="20"/>
        </w:rPr>
        <w:t xml:space="preserve">. </w:t>
      </w:r>
    </w:p>
    <w:p w14:paraId="51B1B31F" w14:textId="77777777" w:rsidR="009D1834" w:rsidRPr="003B5DED" w:rsidRDefault="009D1834" w:rsidP="00D21B97">
      <w:pPr>
        <w:spacing w:after="0" w:line="240" w:lineRule="auto"/>
        <w:rPr>
          <w:rFonts w:ascii="Times New Roman" w:hAnsi="Times New Roman" w:cs="Times New Roman"/>
          <w:b/>
          <w:i/>
          <w:sz w:val="20"/>
          <w:szCs w:val="20"/>
          <w:highlight w:val="yellow"/>
        </w:rPr>
      </w:pPr>
    </w:p>
    <w:p w14:paraId="3A9450E7" w14:textId="77777777" w:rsidR="00D21B97" w:rsidRPr="009A307E" w:rsidRDefault="00D21B97" w:rsidP="00D21B97">
      <w:pPr>
        <w:spacing w:after="0" w:line="240" w:lineRule="auto"/>
        <w:jc w:val="both"/>
        <w:rPr>
          <w:rFonts w:ascii="Times New Roman" w:hAnsi="Times New Roman" w:cs="Times New Roman"/>
          <w:b/>
          <w:i/>
          <w:sz w:val="20"/>
          <w:szCs w:val="20"/>
        </w:rPr>
      </w:pPr>
      <w:r w:rsidRPr="009A307E">
        <w:rPr>
          <w:rFonts w:ascii="Times New Roman" w:hAnsi="Times New Roman" w:cs="Times New Roman"/>
          <w:b/>
          <w:i/>
          <w:sz w:val="20"/>
          <w:szCs w:val="20"/>
        </w:rPr>
        <w:t>Operating Expenses</w:t>
      </w:r>
    </w:p>
    <w:p w14:paraId="66F08E20" w14:textId="77777777" w:rsidR="00D21B97" w:rsidRPr="009A307E" w:rsidRDefault="00D21B97" w:rsidP="00D21B97">
      <w:pPr>
        <w:spacing w:after="0" w:line="240" w:lineRule="auto"/>
        <w:jc w:val="both"/>
        <w:rPr>
          <w:rFonts w:ascii="Times New Roman" w:hAnsi="Times New Roman" w:cs="Times New Roman"/>
          <w:sz w:val="20"/>
          <w:szCs w:val="20"/>
        </w:rPr>
      </w:pPr>
    </w:p>
    <w:p w14:paraId="35894428" w14:textId="25A3EF69" w:rsidR="00D21B97" w:rsidRPr="009A307E" w:rsidRDefault="00D21B97" w:rsidP="00D21B97">
      <w:pPr>
        <w:spacing w:after="0" w:line="240" w:lineRule="auto"/>
        <w:jc w:val="both"/>
        <w:rPr>
          <w:rFonts w:ascii="Times New Roman" w:hAnsi="Times New Roman" w:cs="Times New Roman"/>
          <w:sz w:val="20"/>
          <w:szCs w:val="20"/>
        </w:rPr>
      </w:pPr>
      <w:r w:rsidRPr="009A307E">
        <w:rPr>
          <w:rFonts w:ascii="Times New Roman" w:hAnsi="Times New Roman" w:cs="Times New Roman"/>
          <w:sz w:val="20"/>
          <w:szCs w:val="20"/>
        </w:rPr>
        <w:t xml:space="preserve">Operating expenses for the </w:t>
      </w:r>
      <w:r w:rsidR="00BB62BF" w:rsidRPr="009A307E">
        <w:rPr>
          <w:rFonts w:ascii="Times New Roman" w:hAnsi="Times New Roman" w:cs="Times New Roman"/>
          <w:sz w:val="20"/>
          <w:szCs w:val="20"/>
        </w:rPr>
        <w:t>three</w:t>
      </w:r>
      <w:r w:rsidRPr="009A307E">
        <w:rPr>
          <w:rFonts w:ascii="Times New Roman" w:hAnsi="Times New Roman" w:cs="Times New Roman"/>
          <w:sz w:val="20"/>
          <w:szCs w:val="20"/>
        </w:rPr>
        <w:t xml:space="preserve"> months ended June 30, </w:t>
      </w:r>
      <w:proofErr w:type="gramStart"/>
      <w:r w:rsidRPr="009A307E">
        <w:rPr>
          <w:rFonts w:ascii="Times New Roman" w:hAnsi="Times New Roman" w:cs="Times New Roman"/>
          <w:sz w:val="20"/>
          <w:szCs w:val="20"/>
        </w:rPr>
        <w:t>2021</w:t>
      </w:r>
      <w:proofErr w:type="gramEnd"/>
      <w:r w:rsidRPr="009A307E">
        <w:rPr>
          <w:rFonts w:ascii="Times New Roman" w:hAnsi="Times New Roman" w:cs="Times New Roman"/>
          <w:sz w:val="20"/>
          <w:szCs w:val="20"/>
        </w:rPr>
        <w:t xml:space="preserve"> increased to $</w:t>
      </w:r>
      <w:r w:rsidR="00BB62BF" w:rsidRPr="009A307E">
        <w:rPr>
          <w:rFonts w:ascii="Times New Roman" w:hAnsi="Times New Roman" w:cs="Times New Roman"/>
          <w:sz w:val="20"/>
          <w:szCs w:val="20"/>
        </w:rPr>
        <w:t>1,</w:t>
      </w:r>
      <w:r w:rsidR="009A307E" w:rsidRPr="00F0696B">
        <w:rPr>
          <w:rFonts w:ascii="Times New Roman" w:hAnsi="Times New Roman" w:cs="Times New Roman"/>
          <w:sz w:val="20"/>
          <w:szCs w:val="20"/>
        </w:rPr>
        <w:t xml:space="preserve">429,016 </w:t>
      </w:r>
      <w:r w:rsidRPr="009A307E">
        <w:rPr>
          <w:rFonts w:ascii="Times New Roman" w:hAnsi="Times New Roman" w:cs="Times New Roman"/>
          <w:sz w:val="20"/>
          <w:szCs w:val="20"/>
        </w:rPr>
        <w:t>as compared to $</w:t>
      </w:r>
      <w:r w:rsidR="00BB62BF" w:rsidRPr="009A307E">
        <w:rPr>
          <w:rFonts w:ascii="Times New Roman" w:hAnsi="Times New Roman" w:cs="Times New Roman"/>
          <w:sz w:val="20"/>
          <w:szCs w:val="20"/>
        </w:rPr>
        <w:t>824,762</w:t>
      </w:r>
      <w:r w:rsidRPr="009A307E">
        <w:rPr>
          <w:rFonts w:ascii="Times New Roman" w:hAnsi="Times New Roman" w:cs="Times New Roman"/>
          <w:sz w:val="20"/>
          <w:szCs w:val="20"/>
        </w:rPr>
        <w:t xml:space="preserve"> for the </w:t>
      </w:r>
      <w:r w:rsidR="00BB62BF" w:rsidRPr="009A307E">
        <w:rPr>
          <w:rFonts w:ascii="Times New Roman" w:hAnsi="Times New Roman" w:cs="Times New Roman"/>
          <w:sz w:val="20"/>
          <w:szCs w:val="20"/>
        </w:rPr>
        <w:t>three</w:t>
      </w:r>
      <w:r w:rsidRPr="009A307E">
        <w:rPr>
          <w:rFonts w:ascii="Times New Roman" w:hAnsi="Times New Roman" w:cs="Times New Roman"/>
          <w:sz w:val="20"/>
          <w:szCs w:val="20"/>
        </w:rPr>
        <w:t xml:space="preserve"> months ended June 30, 2020. For the period ended June 30, 2021, the Company had the following operating expenses:</w:t>
      </w:r>
    </w:p>
    <w:p w14:paraId="6E0886E6" w14:textId="77777777" w:rsidR="00D21B97" w:rsidRPr="00EE6DBB" w:rsidRDefault="00D21B97" w:rsidP="00D21B97">
      <w:pPr>
        <w:spacing w:after="0" w:line="240" w:lineRule="auto"/>
        <w:jc w:val="both"/>
        <w:rPr>
          <w:rFonts w:ascii="Times New Roman" w:hAnsi="Times New Roman" w:cs="Times New Roman"/>
          <w:sz w:val="20"/>
          <w:szCs w:val="20"/>
          <w:highlight w:val="yellow"/>
        </w:rPr>
      </w:pPr>
    </w:p>
    <w:p w14:paraId="582C13A0" w14:textId="1D245667" w:rsidR="00D21B97" w:rsidRPr="009A307E" w:rsidRDefault="00D21B97" w:rsidP="00D21B97">
      <w:pPr>
        <w:pStyle w:val="ListParagraph"/>
        <w:numPr>
          <w:ilvl w:val="0"/>
          <w:numId w:val="2"/>
        </w:numPr>
        <w:spacing w:after="0" w:line="240" w:lineRule="auto"/>
        <w:contextualSpacing w:val="0"/>
        <w:jc w:val="both"/>
        <w:rPr>
          <w:rFonts w:ascii="Times New Roman" w:hAnsi="Times New Roman" w:cs="Times New Roman"/>
          <w:sz w:val="20"/>
          <w:szCs w:val="20"/>
        </w:rPr>
      </w:pPr>
      <w:r w:rsidRPr="009A307E">
        <w:rPr>
          <w:rFonts w:ascii="Times New Roman" w:hAnsi="Times New Roman" w:cs="Times New Roman"/>
          <w:sz w:val="20"/>
          <w:szCs w:val="20"/>
        </w:rPr>
        <w:t>administration costs of $</w:t>
      </w:r>
      <w:r w:rsidR="009A307E" w:rsidRPr="00F0696B">
        <w:rPr>
          <w:rFonts w:ascii="Times New Roman" w:hAnsi="Times New Roman" w:cs="Times New Roman"/>
          <w:sz w:val="20"/>
          <w:szCs w:val="20"/>
        </w:rPr>
        <w:t>495,094</w:t>
      </w:r>
      <w:r w:rsidRPr="009A307E">
        <w:rPr>
          <w:rFonts w:ascii="Times New Roman" w:hAnsi="Times New Roman" w:cs="Times New Roman"/>
          <w:sz w:val="20"/>
          <w:szCs w:val="20"/>
        </w:rPr>
        <w:t xml:space="preserve"> (2020 - $</w:t>
      </w:r>
      <w:r w:rsidR="009D1834" w:rsidRPr="009A307E">
        <w:rPr>
          <w:rFonts w:ascii="Times New Roman" w:hAnsi="Times New Roman" w:cs="Times New Roman"/>
          <w:sz w:val="20"/>
          <w:szCs w:val="20"/>
        </w:rPr>
        <w:t>146,451</w:t>
      </w:r>
      <w:r w:rsidRPr="009A307E">
        <w:rPr>
          <w:rFonts w:ascii="Times New Roman" w:hAnsi="Times New Roman" w:cs="Times New Roman"/>
          <w:sz w:val="20"/>
          <w:szCs w:val="20"/>
        </w:rPr>
        <w:t>) which increased from the prior year due to the growth of the operations,</w:t>
      </w:r>
      <w:r w:rsidR="00EE6DBB" w:rsidRPr="009A307E">
        <w:rPr>
          <w:rFonts w:ascii="Times New Roman" w:hAnsi="Times New Roman" w:cs="Times New Roman"/>
          <w:sz w:val="20"/>
          <w:szCs w:val="20"/>
        </w:rPr>
        <w:t xml:space="preserve"> including the operations of </w:t>
      </w:r>
      <w:proofErr w:type="spellStart"/>
      <w:r w:rsidR="00EE6DBB" w:rsidRPr="009A307E">
        <w:rPr>
          <w:rFonts w:ascii="Times New Roman" w:hAnsi="Times New Roman" w:cs="Times New Roman"/>
          <w:sz w:val="20"/>
          <w:szCs w:val="20"/>
        </w:rPr>
        <w:t>Inverite</w:t>
      </w:r>
      <w:proofErr w:type="spellEnd"/>
      <w:r w:rsidR="00EE6DBB" w:rsidRPr="009A307E">
        <w:rPr>
          <w:rFonts w:ascii="Times New Roman" w:hAnsi="Times New Roman" w:cs="Times New Roman"/>
          <w:sz w:val="20"/>
          <w:szCs w:val="20"/>
        </w:rPr>
        <w:t xml:space="preserve"> acquired in April 2021,</w:t>
      </w:r>
      <w:r w:rsidRPr="009A307E">
        <w:rPr>
          <w:rFonts w:ascii="Times New Roman" w:hAnsi="Times New Roman" w:cs="Times New Roman"/>
          <w:sz w:val="20"/>
          <w:szCs w:val="20"/>
        </w:rPr>
        <w:t xml:space="preserve"> as the Company works on expanding its product offerings.  Administration costs are largely comprised of office expenses, loan issuance costs, computer and technology expenses, </w:t>
      </w:r>
      <w:proofErr w:type="gramStart"/>
      <w:r w:rsidRPr="009A307E">
        <w:rPr>
          <w:rFonts w:ascii="Times New Roman" w:hAnsi="Times New Roman" w:cs="Times New Roman"/>
          <w:sz w:val="20"/>
          <w:szCs w:val="20"/>
        </w:rPr>
        <w:t>telephone</w:t>
      </w:r>
      <w:proofErr w:type="gramEnd"/>
      <w:r w:rsidRPr="009A307E">
        <w:rPr>
          <w:rFonts w:ascii="Times New Roman" w:hAnsi="Times New Roman" w:cs="Times New Roman"/>
          <w:sz w:val="20"/>
          <w:szCs w:val="20"/>
        </w:rPr>
        <w:t xml:space="preserve"> and utilities.   </w:t>
      </w:r>
    </w:p>
    <w:p w14:paraId="2DF9B486" w14:textId="77777777" w:rsidR="00D21B97" w:rsidRPr="00EE6DBB" w:rsidRDefault="00D21B97" w:rsidP="00D21B97">
      <w:pPr>
        <w:pStyle w:val="ListParagraph"/>
        <w:spacing w:after="0" w:line="240" w:lineRule="auto"/>
        <w:ind w:left="360"/>
        <w:contextualSpacing w:val="0"/>
        <w:jc w:val="both"/>
        <w:rPr>
          <w:rFonts w:ascii="Times New Roman" w:hAnsi="Times New Roman" w:cs="Times New Roman"/>
          <w:sz w:val="20"/>
          <w:szCs w:val="20"/>
          <w:highlight w:val="yellow"/>
        </w:rPr>
      </w:pPr>
    </w:p>
    <w:p w14:paraId="5F8F3286" w14:textId="1EE80EF1" w:rsidR="00D21B97" w:rsidRPr="009A307E" w:rsidRDefault="00D21B97" w:rsidP="00D21B97">
      <w:pPr>
        <w:pStyle w:val="ListParagraph"/>
        <w:numPr>
          <w:ilvl w:val="0"/>
          <w:numId w:val="2"/>
        </w:numPr>
        <w:spacing w:after="0" w:line="240" w:lineRule="auto"/>
        <w:contextualSpacing w:val="0"/>
        <w:jc w:val="both"/>
        <w:rPr>
          <w:rFonts w:ascii="Times New Roman" w:hAnsi="Times New Roman" w:cs="Times New Roman"/>
          <w:sz w:val="20"/>
          <w:szCs w:val="20"/>
        </w:rPr>
      </w:pPr>
      <w:r w:rsidRPr="009A307E">
        <w:rPr>
          <w:rFonts w:ascii="Times New Roman" w:hAnsi="Times New Roman" w:cs="Times New Roman"/>
          <w:sz w:val="20"/>
          <w:szCs w:val="20"/>
        </w:rPr>
        <w:t>amortization of $</w:t>
      </w:r>
      <w:r w:rsidR="00524F55" w:rsidRPr="009A307E">
        <w:rPr>
          <w:rFonts w:ascii="Times New Roman" w:hAnsi="Times New Roman" w:cs="Times New Roman"/>
          <w:sz w:val="20"/>
          <w:szCs w:val="20"/>
        </w:rPr>
        <w:t>31,494</w:t>
      </w:r>
      <w:r w:rsidRPr="009A307E">
        <w:rPr>
          <w:rFonts w:ascii="Times New Roman" w:hAnsi="Times New Roman" w:cs="Times New Roman"/>
          <w:sz w:val="20"/>
          <w:szCs w:val="20"/>
        </w:rPr>
        <w:t xml:space="preserve"> (2020 - $</w:t>
      </w:r>
      <w:r w:rsidR="00524F55" w:rsidRPr="009A307E">
        <w:rPr>
          <w:rFonts w:ascii="Times New Roman" w:hAnsi="Times New Roman" w:cs="Times New Roman"/>
          <w:sz w:val="20"/>
          <w:szCs w:val="20"/>
        </w:rPr>
        <w:t>63,599</w:t>
      </w:r>
      <w:r w:rsidRPr="009A307E">
        <w:rPr>
          <w:rFonts w:ascii="Times New Roman" w:hAnsi="Times New Roman" w:cs="Times New Roman"/>
          <w:sz w:val="20"/>
          <w:szCs w:val="20"/>
        </w:rPr>
        <w:t>) which decreased as the Company had minimal additions in 2021 and continues to amortize its internally developed software, Score-Up software platform, and depreciate its office lease. The Score-Up office lease was fully depreciated during 2020 and the Marble office was subleased beginning May 1, 2021.</w:t>
      </w:r>
    </w:p>
    <w:p w14:paraId="439AE63E" w14:textId="77777777" w:rsidR="00EE6DBB" w:rsidRPr="00F0696B" w:rsidRDefault="00EE6DBB" w:rsidP="00F0696B">
      <w:pPr>
        <w:pStyle w:val="ListParagraph"/>
        <w:rPr>
          <w:rFonts w:ascii="Times New Roman" w:hAnsi="Times New Roman" w:cs="Times New Roman"/>
          <w:sz w:val="20"/>
          <w:szCs w:val="20"/>
        </w:rPr>
      </w:pPr>
    </w:p>
    <w:p w14:paraId="2AD94EE6" w14:textId="7397200B" w:rsidR="00EE6DBB" w:rsidRPr="009A307E" w:rsidRDefault="00EE6DBB" w:rsidP="00EE6DBB">
      <w:pPr>
        <w:pStyle w:val="ListParagraph"/>
        <w:numPr>
          <w:ilvl w:val="0"/>
          <w:numId w:val="2"/>
        </w:numPr>
        <w:spacing w:after="0" w:line="240" w:lineRule="auto"/>
        <w:contextualSpacing w:val="0"/>
        <w:jc w:val="both"/>
        <w:rPr>
          <w:rFonts w:ascii="Times New Roman" w:hAnsi="Times New Roman" w:cs="Times New Roman"/>
          <w:sz w:val="20"/>
          <w:szCs w:val="20"/>
        </w:rPr>
      </w:pPr>
      <w:r w:rsidRPr="009A307E">
        <w:rPr>
          <w:rFonts w:ascii="Times New Roman" w:hAnsi="Times New Roman" w:cs="Times New Roman"/>
          <w:sz w:val="20"/>
          <w:szCs w:val="20"/>
        </w:rPr>
        <w:t>consulting fees of $</w:t>
      </w:r>
      <w:r w:rsidR="009A307E" w:rsidRPr="00F0696B">
        <w:rPr>
          <w:rFonts w:ascii="Times New Roman" w:hAnsi="Times New Roman" w:cs="Times New Roman"/>
          <w:sz w:val="20"/>
          <w:szCs w:val="20"/>
        </w:rPr>
        <w:t>175,962</w:t>
      </w:r>
      <w:r w:rsidRPr="009A307E">
        <w:rPr>
          <w:rFonts w:ascii="Times New Roman" w:hAnsi="Times New Roman" w:cs="Times New Roman"/>
          <w:sz w:val="20"/>
          <w:szCs w:val="20"/>
        </w:rPr>
        <w:t xml:space="preserve"> (2020 - $</w:t>
      </w:r>
      <w:r w:rsidR="009A307E" w:rsidRPr="00F0696B">
        <w:rPr>
          <w:rFonts w:ascii="Times New Roman" w:hAnsi="Times New Roman" w:cs="Times New Roman"/>
          <w:sz w:val="20"/>
          <w:szCs w:val="20"/>
        </w:rPr>
        <w:t>208,912</w:t>
      </w:r>
      <w:r w:rsidRPr="009A307E">
        <w:rPr>
          <w:rFonts w:ascii="Times New Roman" w:hAnsi="Times New Roman" w:cs="Times New Roman"/>
          <w:sz w:val="20"/>
          <w:szCs w:val="20"/>
        </w:rPr>
        <w:t>) decreased as the Company reduced its consulting group during the period.</w:t>
      </w:r>
    </w:p>
    <w:p w14:paraId="6DB4A020" w14:textId="77777777" w:rsidR="00EE6DBB" w:rsidRPr="00C53768" w:rsidRDefault="00EE6DBB" w:rsidP="00EE6DBB">
      <w:pPr>
        <w:pStyle w:val="ListParagraph"/>
        <w:rPr>
          <w:rFonts w:ascii="Times New Roman" w:hAnsi="Times New Roman" w:cs="Times New Roman"/>
          <w:sz w:val="20"/>
          <w:szCs w:val="20"/>
        </w:rPr>
      </w:pPr>
    </w:p>
    <w:p w14:paraId="4791E8C0" w14:textId="3540E307" w:rsidR="00EE6DBB" w:rsidRPr="00F0696B" w:rsidRDefault="00EE6DBB" w:rsidP="00EE6DBB">
      <w:pPr>
        <w:pStyle w:val="ListParagraph"/>
        <w:numPr>
          <w:ilvl w:val="0"/>
          <w:numId w:val="2"/>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investor relations expense of $11,756 (2020 - $12,000) was consistent with the comparative period.</w:t>
      </w:r>
    </w:p>
    <w:p w14:paraId="13922137" w14:textId="77777777" w:rsidR="00D21B97" w:rsidRPr="003B5DED" w:rsidRDefault="00D21B97" w:rsidP="00D21B97">
      <w:pPr>
        <w:pStyle w:val="ListParagraph"/>
        <w:spacing w:after="0" w:line="240" w:lineRule="auto"/>
        <w:rPr>
          <w:rFonts w:ascii="Times New Roman" w:hAnsi="Times New Roman" w:cs="Times New Roman"/>
          <w:sz w:val="20"/>
          <w:szCs w:val="20"/>
          <w:highlight w:val="yellow"/>
        </w:rPr>
      </w:pPr>
    </w:p>
    <w:p w14:paraId="6810E8FC" w14:textId="29918510" w:rsidR="00D21B97" w:rsidRPr="009A307E" w:rsidRDefault="00D21B97" w:rsidP="00D21B97">
      <w:pPr>
        <w:pStyle w:val="ListParagraph"/>
        <w:numPr>
          <w:ilvl w:val="0"/>
          <w:numId w:val="2"/>
        </w:numPr>
        <w:spacing w:after="0" w:line="240" w:lineRule="auto"/>
        <w:contextualSpacing w:val="0"/>
        <w:jc w:val="both"/>
        <w:rPr>
          <w:rFonts w:ascii="Times New Roman" w:hAnsi="Times New Roman" w:cs="Times New Roman"/>
          <w:sz w:val="20"/>
          <w:szCs w:val="20"/>
        </w:rPr>
      </w:pPr>
      <w:r w:rsidRPr="009A307E">
        <w:rPr>
          <w:rFonts w:ascii="Times New Roman" w:hAnsi="Times New Roman" w:cs="Times New Roman"/>
          <w:sz w:val="20"/>
          <w:szCs w:val="20"/>
        </w:rPr>
        <w:t>marketing expense of $</w:t>
      </w:r>
      <w:r w:rsidR="00524F55" w:rsidRPr="009A307E">
        <w:rPr>
          <w:rFonts w:ascii="Times New Roman" w:hAnsi="Times New Roman" w:cs="Times New Roman"/>
          <w:sz w:val="20"/>
          <w:szCs w:val="20"/>
        </w:rPr>
        <w:t>163,246</w:t>
      </w:r>
      <w:r w:rsidR="009D1834" w:rsidRPr="009A307E">
        <w:rPr>
          <w:rFonts w:ascii="Times New Roman" w:hAnsi="Times New Roman" w:cs="Times New Roman"/>
          <w:sz w:val="20"/>
          <w:szCs w:val="20"/>
        </w:rPr>
        <w:t xml:space="preserve"> </w:t>
      </w:r>
      <w:r w:rsidRPr="009A307E">
        <w:rPr>
          <w:rFonts w:ascii="Times New Roman" w:hAnsi="Times New Roman" w:cs="Times New Roman"/>
          <w:sz w:val="20"/>
          <w:szCs w:val="20"/>
        </w:rPr>
        <w:t>(2020 - $</w:t>
      </w:r>
      <w:r w:rsidR="00524F55" w:rsidRPr="009A307E">
        <w:rPr>
          <w:rFonts w:ascii="Times New Roman" w:hAnsi="Times New Roman" w:cs="Times New Roman"/>
          <w:sz w:val="20"/>
          <w:szCs w:val="20"/>
        </w:rPr>
        <w:t>17,020</w:t>
      </w:r>
      <w:r w:rsidRPr="009A307E">
        <w:rPr>
          <w:rFonts w:ascii="Times New Roman" w:hAnsi="Times New Roman" w:cs="Times New Roman"/>
          <w:sz w:val="20"/>
          <w:szCs w:val="20"/>
        </w:rPr>
        <w:t>) has increased from 2020, as the Company increased efforts to grow the business and increase awareness of its products. The Company incurred less marketing expenses during 2020 as result of the uncertainty of the COVID-19 pandemic. Included in 2021 is $15,000 which represents the fair value of the 40,843 common shares issued to AGORACOM and $30,000 which represents the fair value of the shares issuable but not yet issued</w:t>
      </w:r>
      <w:r w:rsidR="009D1834" w:rsidRPr="009A307E">
        <w:rPr>
          <w:rFonts w:ascii="Times New Roman" w:hAnsi="Times New Roman" w:cs="Times New Roman"/>
          <w:sz w:val="20"/>
          <w:szCs w:val="20"/>
        </w:rPr>
        <w:t xml:space="preserve"> to AGORACOM</w:t>
      </w:r>
      <w:r w:rsidRPr="009A307E">
        <w:rPr>
          <w:rFonts w:ascii="Times New Roman" w:hAnsi="Times New Roman" w:cs="Times New Roman"/>
          <w:sz w:val="20"/>
          <w:szCs w:val="20"/>
        </w:rPr>
        <w:t>.</w:t>
      </w:r>
    </w:p>
    <w:p w14:paraId="7E8ADEB6" w14:textId="77777777" w:rsidR="009D1834" w:rsidRPr="00F0696B" w:rsidRDefault="009D1834" w:rsidP="00A4460C">
      <w:pPr>
        <w:pStyle w:val="ListParagraph"/>
        <w:rPr>
          <w:rFonts w:ascii="Times New Roman" w:hAnsi="Times New Roman" w:cs="Times New Roman"/>
          <w:sz w:val="20"/>
          <w:szCs w:val="20"/>
          <w:highlight w:val="yellow"/>
        </w:rPr>
      </w:pPr>
    </w:p>
    <w:p w14:paraId="4B62F5B8" w14:textId="24773EFA" w:rsidR="00D21B97" w:rsidRPr="009A307E" w:rsidRDefault="00D21B97" w:rsidP="00D21B97">
      <w:pPr>
        <w:pStyle w:val="ListParagraph"/>
        <w:numPr>
          <w:ilvl w:val="0"/>
          <w:numId w:val="2"/>
        </w:numPr>
        <w:spacing w:after="0" w:line="240" w:lineRule="auto"/>
        <w:contextualSpacing w:val="0"/>
        <w:jc w:val="both"/>
        <w:rPr>
          <w:rFonts w:ascii="Times New Roman" w:hAnsi="Times New Roman" w:cs="Times New Roman"/>
          <w:sz w:val="20"/>
          <w:szCs w:val="20"/>
        </w:rPr>
      </w:pPr>
      <w:r w:rsidRPr="009A307E">
        <w:rPr>
          <w:rFonts w:ascii="Times New Roman" w:hAnsi="Times New Roman" w:cs="Times New Roman"/>
          <w:sz w:val="20"/>
          <w:szCs w:val="20"/>
        </w:rPr>
        <w:t>share based payments of $</w:t>
      </w:r>
      <w:r w:rsidR="00524F55" w:rsidRPr="009A307E">
        <w:rPr>
          <w:rFonts w:ascii="Times New Roman" w:hAnsi="Times New Roman" w:cs="Times New Roman"/>
          <w:sz w:val="20"/>
          <w:szCs w:val="20"/>
        </w:rPr>
        <w:t>95,942</w:t>
      </w:r>
      <w:r w:rsidRPr="009A307E">
        <w:rPr>
          <w:rFonts w:ascii="Times New Roman" w:hAnsi="Times New Roman" w:cs="Times New Roman"/>
          <w:sz w:val="20"/>
          <w:szCs w:val="20"/>
        </w:rPr>
        <w:t xml:space="preserve"> (2020 - $</w:t>
      </w:r>
      <w:r w:rsidR="00524F55" w:rsidRPr="009A307E">
        <w:rPr>
          <w:rFonts w:ascii="Times New Roman" w:hAnsi="Times New Roman" w:cs="Times New Roman"/>
          <w:sz w:val="20"/>
          <w:szCs w:val="20"/>
        </w:rPr>
        <w:t>45,917</w:t>
      </w:r>
      <w:r w:rsidRPr="009A307E">
        <w:rPr>
          <w:rFonts w:ascii="Times New Roman" w:hAnsi="Times New Roman" w:cs="Times New Roman"/>
          <w:sz w:val="20"/>
          <w:szCs w:val="20"/>
        </w:rPr>
        <w:t xml:space="preserve">) related to the fair value of share purchase options granted and vested during the period and the vesting of RSUs during the period. During the period ended June 30, 2021, the Company granted </w:t>
      </w:r>
      <w:r w:rsidR="00524F55" w:rsidRPr="009A307E">
        <w:rPr>
          <w:rFonts w:ascii="Times New Roman" w:hAnsi="Times New Roman" w:cs="Times New Roman"/>
          <w:sz w:val="20"/>
          <w:szCs w:val="20"/>
        </w:rPr>
        <w:t>1,225</w:t>
      </w:r>
      <w:r w:rsidRPr="009A307E">
        <w:rPr>
          <w:rFonts w:ascii="Times New Roman" w:hAnsi="Times New Roman" w:cs="Times New Roman"/>
          <w:sz w:val="20"/>
          <w:szCs w:val="20"/>
        </w:rPr>
        <w:t xml:space="preserve">,000 share purchase options to various officers, directors, </w:t>
      </w:r>
      <w:proofErr w:type="gramStart"/>
      <w:r w:rsidRPr="009A307E">
        <w:rPr>
          <w:rFonts w:ascii="Times New Roman" w:hAnsi="Times New Roman" w:cs="Times New Roman"/>
          <w:sz w:val="20"/>
          <w:szCs w:val="20"/>
        </w:rPr>
        <w:t>employees</w:t>
      </w:r>
      <w:proofErr w:type="gramEnd"/>
      <w:r w:rsidRPr="009A307E">
        <w:rPr>
          <w:rFonts w:ascii="Times New Roman" w:hAnsi="Times New Roman" w:cs="Times New Roman"/>
          <w:sz w:val="20"/>
          <w:szCs w:val="20"/>
        </w:rPr>
        <w:t xml:space="preserve"> and consultants.</w:t>
      </w:r>
    </w:p>
    <w:p w14:paraId="2E796D16" w14:textId="77777777" w:rsidR="00D21B97" w:rsidRPr="009A307E" w:rsidRDefault="00D21B97" w:rsidP="00D21B97">
      <w:pPr>
        <w:pStyle w:val="ListParagraph"/>
        <w:rPr>
          <w:rFonts w:ascii="Times New Roman" w:hAnsi="Times New Roman" w:cs="Times New Roman"/>
          <w:sz w:val="20"/>
          <w:szCs w:val="20"/>
        </w:rPr>
      </w:pPr>
    </w:p>
    <w:p w14:paraId="035AA549" w14:textId="7FAE763B" w:rsidR="00D21B97" w:rsidRPr="009A307E" w:rsidRDefault="00D21B97" w:rsidP="00D21B97">
      <w:pPr>
        <w:pStyle w:val="ListParagraph"/>
        <w:numPr>
          <w:ilvl w:val="0"/>
          <w:numId w:val="2"/>
        </w:numPr>
        <w:rPr>
          <w:rFonts w:ascii="Times New Roman" w:hAnsi="Times New Roman" w:cs="Times New Roman"/>
          <w:sz w:val="20"/>
          <w:szCs w:val="20"/>
        </w:rPr>
      </w:pPr>
      <w:r w:rsidRPr="009A307E">
        <w:rPr>
          <w:rFonts w:ascii="Times New Roman" w:hAnsi="Times New Roman" w:cs="Times New Roman"/>
          <w:sz w:val="20"/>
          <w:szCs w:val="20"/>
        </w:rPr>
        <w:t>salaries and benefits of $</w:t>
      </w:r>
      <w:r w:rsidR="00613A18" w:rsidRPr="009A307E">
        <w:rPr>
          <w:rFonts w:ascii="Times New Roman" w:hAnsi="Times New Roman" w:cs="Times New Roman"/>
          <w:sz w:val="20"/>
          <w:szCs w:val="20"/>
        </w:rPr>
        <w:t>455,522</w:t>
      </w:r>
      <w:r w:rsidRPr="009A307E">
        <w:rPr>
          <w:rFonts w:ascii="Times New Roman" w:hAnsi="Times New Roman" w:cs="Times New Roman"/>
          <w:sz w:val="20"/>
          <w:szCs w:val="20"/>
        </w:rPr>
        <w:t xml:space="preserve"> (2020 - $</w:t>
      </w:r>
      <w:r w:rsidR="00613A18" w:rsidRPr="009A307E">
        <w:rPr>
          <w:rFonts w:ascii="Times New Roman" w:hAnsi="Times New Roman" w:cs="Times New Roman"/>
          <w:sz w:val="20"/>
          <w:szCs w:val="20"/>
        </w:rPr>
        <w:t>322,861</w:t>
      </w:r>
      <w:r w:rsidRPr="009A307E">
        <w:rPr>
          <w:rFonts w:ascii="Times New Roman" w:hAnsi="Times New Roman" w:cs="Times New Roman"/>
          <w:sz w:val="20"/>
          <w:szCs w:val="20"/>
        </w:rPr>
        <w:t xml:space="preserve">) increased from 2020, largely </w:t>
      </w:r>
      <w:proofErr w:type="gramStart"/>
      <w:r w:rsidRPr="009A307E">
        <w:rPr>
          <w:rFonts w:ascii="Times New Roman" w:hAnsi="Times New Roman" w:cs="Times New Roman"/>
          <w:sz w:val="20"/>
          <w:szCs w:val="20"/>
        </w:rPr>
        <w:t>as a result of</w:t>
      </w:r>
      <w:proofErr w:type="gramEnd"/>
      <w:r w:rsidRPr="009A307E">
        <w:rPr>
          <w:rFonts w:ascii="Times New Roman" w:hAnsi="Times New Roman" w:cs="Times New Roman"/>
          <w:sz w:val="20"/>
          <w:szCs w:val="20"/>
        </w:rPr>
        <w:t xml:space="preserve"> the acquisition of </w:t>
      </w:r>
      <w:proofErr w:type="spellStart"/>
      <w:r w:rsidRPr="009A307E">
        <w:rPr>
          <w:rFonts w:ascii="Times New Roman" w:hAnsi="Times New Roman" w:cs="Times New Roman"/>
          <w:sz w:val="20"/>
          <w:szCs w:val="20"/>
        </w:rPr>
        <w:t>Inverite</w:t>
      </w:r>
      <w:proofErr w:type="spellEnd"/>
      <w:r w:rsidRPr="009A307E">
        <w:rPr>
          <w:rFonts w:ascii="Times New Roman" w:hAnsi="Times New Roman" w:cs="Times New Roman"/>
          <w:sz w:val="20"/>
          <w:szCs w:val="20"/>
        </w:rPr>
        <w:t xml:space="preserve"> </w:t>
      </w:r>
      <w:r w:rsidR="00EE6DBB" w:rsidRPr="009A307E">
        <w:rPr>
          <w:rFonts w:ascii="Times New Roman" w:hAnsi="Times New Roman" w:cs="Times New Roman"/>
          <w:sz w:val="20"/>
          <w:szCs w:val="20"/>
        </w:rPr>
        <w:t>in April 2021, adding employees</w:t>
      </w:r>
      <w:r w:rsidRPr="009A307E">
        <w:rPr>
          <w:rFonts w:ascii="Times New Roman" w:hAnsi="Times New Roman" w:cs="Times New Roman"/>
          <w:sz w:val="20"/>
          <w:szCs w:val="20"/>
        </w:rPr>
        <w:t>.</w:t>
      </w:r>
    </w:p>
    <w:p w14:paraId="0A2CC495" w14:textId="77777777" w:rsidR="00EE6DBB" w:rsidRPr="009A307E" w:rsidRDefault="00EE6DBB" w:rsidP="00EE6DBB">
      <w:pPr>
        <w:spacing w:after="0" w:line="240" w:lineRule="auto"/>
        <w:jc w:val="both"/>
        <w:rPr>
          <w:rFonts w:ascii="Times New Roman" w:hAnsi="Times New Roman" w:cs="Times New Roman"/>
          <w:b/>
          <w:i/>
          <w:sz w:val="20"/>
          <w:szCs w:val="20"/>
        </w:rPr>
      </w:pPr>
      <w:r w:rsidRPr="009A307E">
        <w:rPr>
          <w:rFonts w:ascii="Times New Roman" w:hAnsi="Times New Roman" w:cs="Times New Roman"/>
          <w:b/>
          <w:i/>
          <w:sz w:val="20"/>
          <w:szCs w:val="20"/>
        </w:rPr>
        <w:t>Other Income (Expenses)</w:t>
      </w:r>
    </w:p>
    <w:p w14:paraId="727E3A1A" w14:textId="77777777" w:rsidR="00EE6DBB" w:rsidRPr="009A307E" w:rsidRDefault="00EE6DBB" w:rsidP="00EE6DBB">
      <w:pPr>
        <w:spacing w:after="0" w:line="240" w:lineRule="auto"/>
        <w:jc w:val="both"/>
        <w:rPr>
          <w:rFonts w:ascii="Times New Roman" w:hAnsi="Times New Roman" w:cs="Times New Roman"/>
          <w:b/>
          <w:i/>
          <w:sz w:val="20"/>
          <w:szCs w:val="20"/>
        </w:rPr>
      </w:pPr>
    </w:p>
    <w:p w14:paraId="6F87FD90" w14:textId="6E2A7FB5" w:rsidR="00EE6DBB" w:rsidRPr="00CA4529" w:rsidRDefault="00EE6DBB" w:rsidP="00EE6DBB">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i</w:t>
      </w:r>
      <w:r w:rsidRPr="00CA4529">
        <w:rPr>
          <w:rFonts w:ascii="Times New Roman" w:hAnsi="Times New Roman" w:cs="Times New Roman"/>
          <w:sz w:val="20"/>
          <w:szCs w:val="20"/>
        </w:rPr>
        <w:t>nterest on convertible debentures and lease liabilities of $</w:t>
      </w:r>
      <w:r w:rsidR="009A307E" w:rsidRPr="00F0696B">
        <w:rPr>
          <w:rFonts w:ascii="Times New Roman" w:hAnsi="Times New Roman" w:cs="Times New Roman"/>
          <w:sz w:val="20"/>
          <w:szCs w:val="20"/>
        </w:rPr>
        <w:t>51,757</w:t>
      </w:r>
      <w:r w:rsidRPr="00CA4529">
        <w:rPr>
          <w:rFonts w:ascii="Times New Roman" w:hAnsi="Times New Roman" w:cs="Times New Roman"/>
          <w:sz w:val="20"/>
          <w:szCs w:val="20"/>
        </w:rPr>
        <w:t xml:space="preserve"> (2020 - $</w:t>
      </w:r>
      <w:r w:rsidR="009A307E" w:rsidRPr="00F0696B">
        <w:rPr>
          <w:rFonts w:ascii="Times New Roman" w:hAnsi="Times New Roman" w:cs="Times New Roman"/>
          <w:sz w:val="20"/>
          <w:szCs w:val="20"/>
        </w:rPr>
        <w:t>9,705</w:t>
      </w:r>
      <w:r w:rsidRPr="00CA4529">
        <w:rPr>
          <w:rFonts w:ascii="Times New Roman" w:hAnsi="Times New Roman" w:cs="Times New Roman"/>
          <w:sz w:val="20"/>
          <w:szCs w:val="20"/>
        </w:rPr>
        <w:t xml:space="preserve">) increased from 2020, </w:t>
      </w:r>
      <w:r w:rsidR="009A307E" w:rsidRPr="00CA4529">
        <w:rPr>
          <w:rFonts w:ascii="Times New Roman" w:hAnsi="Times New Roman" w:cs="Times New Roman"/>
          <w:sz w:val="20"/>
          <w:szCs w:val="20"/>
        </w:rPr>
        <w:t xml:space="preserve">largely </w:t>
      </w:r>
      <w:proofErr w:type="gramStart"/>
      <w:r w:rsidR="009A307E" w:rsidRPr="00CA4529">
        <w:rPr>
          <w:rFonts w:ascii="Times New Roman" w:hAnsi="Times New Roman" w:cs="Times New Roman"/>
          <w:sz w:val="20"/>
          <w:szCs w:val="20"/>
        </w:rPr>
        <w:t>as a result of</w:t>
      </w:r>
      <w:proofErr w:type="gramEnd"/>
      <w:r w:rsidR="009A307E" w:rsidRPr="00CA4529">
        <w:rPr>
          <w:rFonts w:ascii="Times New Roman" w:hAnsi="Times New Roman" w:cs="Times New Roman"/>
          <w:sz w:val="20"/>
          <w:szCs w:val="20"/>
        </w:rPr>
        <w:t xml:space="preserve"> new convertible debentures issued during the period with an aggregate principal of $1,303,000</w:t>
      </w:r>
    </w:p>
    <w:p w14:paraId="05E3E2F5" w14:textId="77777777" w:rsidR="001806B0" w:rsidRPr="00F0696B" w:rsidRDefault="001806B0" w:rsidP="00EE6DBB">
      <w:pPr>
        <w:spacing w:after="0" w:line="240" w:lineRule="auto"/>
        <w:jc w:val="both"/>
        <w:rPr>
          <w:rFonts w:ascii="Times New Roman" w:hAnsi="Times New Roman" w:cs="Times New Roman"/>
          <w:sz w:val="20"/>
          <w:szCs w:val="20"/>
          <w:highlight w:val="yellow"/>
        </w:rPr>
      </w:pPr>
    </w:p>
    <w:p w14:paraId="5405F963" w14:textId="2BA7F54C" w:rsidR="00EE6DBB" w:rsidRPr="00CA4529" w:rsidRDefault="001806B0" w:rsidP="00EE6DBB">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 xml:space="preserve">The Company incurred a loss on the recognition of sublease of $12,096 (2020 - $nil) as the </w:t>
      </w:r>
      <w:r w:rsidR="00EE6DBB" w:rsidRPr="00CA4529">
        <w:rPr>
          <w:rFonts w:ascii="Times New Roman" w:hAnsi="Times New Roman" w:cs="Times New Roman"/>
          <w:sz w:val="20"/>
          <w:szCs w:val="20"/>
        </w:rPr>
        <w:t xml:space="preserve">Company entered into a sublease agreement of its Marble office </w:t>
      </w:r>
      <w:r w:rsidRPr="00F0696B">
        <w:rPr>
          <w:rFonts w:ascii="Times New Roman" w:hAnsi="Times New Roman" w:cs="Times New Roman"/>
          <w:sz w:val="20"/>
          <w:szCs w:val="20"/>
        </w:rPr>
        <w:t xml:space="preserve">and derecognized the corresponding right-of-use asset </w:t>
      </w:r>
      <w:r w:rsidR="00EE6DBB" w:rsidRPr="00CA4529">
        <w:rPr>
          <w:rFonts w:ascii="Times New Roman" w:hAnsi="Times New Roman" w:cs="Times New Roman"/>
          <w:sz w:val="20"/>
          <w:szCs w:val="20"/>
        </w:rPr>
        <w:t>during the period.</w:t>
      </w:r>
    </w:p>
    <w:p w14:paraId="043D3584" w14:textId="77777777" w:rsidR="00EE6DBB" w:rsidRPr="00CA4529" w:rsidRDefault="00EE6DBB" w:rsidP="00EE6DBB">
      <w:pPr>
        <w:spacing w:after="0" w:line="240" w:lineRule="auto"/>
        <w:jc w:val="both"/>
        <w:rPr>
          <w:rFonts w:ascii="Times New Roman" w:hAnsi="Times New Roman" w:cs="Times New Roman"/>
          <w:sz w:val="20"/>
          <w:szCs w:val="20"/>
        </w:rPr>
      </w:pPr>
    </w:p>
    <w:p w14:paraId="3B3AC7AB" w14:textId="3061153C" w:rsidR="00EE6DBB" w:rsidRPr="00CA4529" w:rsidRDefault="001806B0" w:rsidP="00EE6DBB">
      <w:pPr>
        <w:pStyle w:val="ListParagraph"/>
        <w:numPr>
          <w:ilvl w:val="0"/>
          <w:numId w:val="2"/>
        </w:numPr>
        <w:spacing w:after="0" w:line="240" w:lineRule="auto"/>
        <w:contextualSpacing w:val="0"/>
        <w:jc w:val="both"/>
        <w:rPr>
          <w:rFonts w:ascii="Times New Roman" w:hAnsi="Times New Roman" w:cs="Times New Roman"/>
          <w:sz w:val="20"/>
          <w:szCs w:val="20"/>
        </w:rPr>
      </w:pPr>
      <w:r w:rsidRPr="00F0696B">
        <w:rPr>
          <w:rFonts w:ascii="Times New Roman" w:hAnsi="Times New Roman" w:cs="Times New Roman"/>
          <w:sz w:val="20"/>
          <w:szCs w:val="20"/>
        </w:rPr>
        <w:t xml:space="preserve">The Company incurred a gain on the </w:t>
      </w:r>
      <w:r w:rsidR="00EE6DBB" w:rsidRPr="00F0696B">
        <w:rPr>
          <w:rFonts w:ascii="Times New Roman" w:hAnsi="Times New Roman" w:cs="Times New Roman"/>
          <w:sz w:val="20"/>
          <w:szCs w:val="20"/>
        </w:rPr>
        <w:t>w</w:t>
      </w:r>
      <w:r w:rsidR="00EE6DBB" w:rsidRPr="00CA4529">
        <w:rPr>
          <w:rFonts w:ascii="Times New Roman" w:hAnsi="Times New Roman" w:cs="Times New Roman"/>
          <w:sz w:val="20"/>
          <w:szCs w:val="20"/>
        </w:rPr>
        <w:t>rite-off of accounts payable of $8,229 (2020 - $nil) as the Company reviewed its accounts payable during the period and wrote-off amounts that are not expected to be paid.</w:t>
      </w:r>
    </w:p>
    <w:p w14:paraId="61A7562E" w14:textId="53068ADA" w:rsidR="00EE6DBB" w:rsidRDefault="00EE6DBB" w:rsidP="00EE6DBB">
      <w:pPr>
        <w:spacing w:after="0" w:line="240" w:lineRule="auto"/>
        <w:rPr>
          <w:rFonts w:ascii="Times New Roman" w:hAnsi="Times New Roman" w:cs="Times New Roman"/>
          <w:sz w:val="20"/>
          <w:szCs w:val="20"/>
          <w:highlight w:val="yellow"/>
        </w:rPr>
      </w:pPr>
    </w:p>
    <w:p w14:paraId="4912ECC4" w14:textId="095A6708" w:rsidR="00D21B97" w:rsidRPr="00A42072" w:rsidRDefault="009770EF" w:rsidP="00D21B97">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Net</w:t>
      </w:r>
      <w:r w:rsidRPr="00A42072">
        <w:rPr>
          <w:rFonts w:ascii="Times New Roman" w:hAnsi="Times New Roman" w:cs="Times New Roman"/>
          <w:b/>
          <w:i/>
          <w:sz w:val="20"/>
          <w:szCs w:val="20"/>
        </w:rPr>
        <w:t xml:space="preserve"> </w:t>
      </w:r>
      <w:r w:rsidR="00D21B97" w:rsidRPr="00A42072">
        <w:rPr>
          <w:rFonts w:ascii="Times New Roman" w:hAnsi="Times New Roman" w:cs="Times New Roman"/>
          <w:b/>
          <w:i/>
          <w:sz w:val="20"/>
          <w:szCs w:val="20"/>
        </w:rPr>
        <w:t>Loss</w:t>
      </w:r>
    </w:p>
    <w:p w14:paraId="7611ED19" w14:textId="77777777" w:rsidR="00D21B97" w:rsidRPr="00152D99" w:rsidRDefault="00D21B97" w:rsidP="00D21B97">
      <w:pPr>
        <w:pStyle w:val="ListParagraph"/>
        <w:spacing w:after="0" w:line="240" w:lineRule="auto"/>
        <w:contextualSpacing w:val="0"/>
        <w:jc w:val="both"/>
        <w:rPr>
          <w:rFonts w:ascii="Times New Roman" w:hAnsi="Times New Roman" w:cs="Times New Roman"/>
          <w:b/>
          <w:i/>
          <w:sz w:val="20"/>
          <w:szCs w:val="20"/>
        </w:rPr>
      </w:pPr>
    </w:p>
    <w:p w14:paraId="28C1C661" w14:textId="62FAC4EB" w:rsidR="00D21B97" w:rsidRDefault="00D21B97" w:rsidP="00D21B97">
      <w:pPr>
        <w:spacing w:after="0" w:line="240" w:lineRule="auto"/>
        <w:jc w:val="both"/>
        <w:rPr>
          <w:rFonts w:ascii="Times New Roman" w:hAnsi="Times New Roman" w:cs="Times New Roman"/>
          <w:sz w:val="20"/>
          <w:szCs w:val="20"/>
        </w:rPr>
      </w:pPr>
      <w:r w:rsidRPr="00FC7420">
        <w:rPr>
          <w:rFonts w:ascii="Times New Roman" w:hAnsi="Times New Roman" w:cs="Times New Roman"/>
          <w:sz w:val="20"/>
          <w:szCs w:val="20"/>
        </w:rPr>
        <w:lastRenderedPageBreak/>
        <w:t xml:space="preserve">The Company incurred a net loss </w:t>
      </w:r>
      <w:r w:rsidRPr="00476289">
        <w:rPr>
          <w:rFonts w:ascii="Times New Roman" w:hAnsi="Times New Roman" w:cs="Times New Roman"/>
          <w:sz w:val="20"/>
          <w:szCs w:val="20"/>
        </w:rPr>
        <w:t>of $</w:t>
      </w:r>
      <w:r w:rsidR="00613A18">
        <w:rPr>
          <w:rFonts w:ascii="Times New Roman" w:hAnsi="Times New Roman" w:cs="Times New Roman"/>
          <w:sz w:val="20"/>
          <w:szCs w:val="20"/>
        </w:rPr>
        <w:t>1</w:t>
      </w:r>
      <w:r w:rsidR="00CA4529">
        <w:rPr>
          <w:rFonts w:ascii="Times New Roman" w:hAnsi="Times New Roman" w:cs="Times New Roman"/>
          <w:sz w:val="20"/>
          <w:szCs w:val="20"/>
        </w:rPr>
        <w:t>,199,349</w:t>
      </w:r>
      <w:r w:rsidRPr="00FC7420">
        <w:rPr>
          <w:rFonts w:ascii="Times New Roman" w:hAnsi="Times New Roman" w:cs="Times New Roman"/>
          <w:sz w:val="20"/>
          <w:szCs w:val="20"/>
        </w:rPr>
        <w:t xml:space="preserve"> for the </w:t>
      </w:r>
      <w:r w:rsidR="00613A18">
        <w:rPr>
          <w:rFonts w:ascii="Times New Roman" w:hAnsi="Times New Roman" w:cs="Times New Roman"/>
          <w:sz w:val="20"/>
          <w:szCs w:val="20"/>
        </w:rPr>
        <w:t>three</w:t>
      </w:r>
      <w:r>
        <w:rPr>
          <w:rFonts w:ascii="Times New Roman" w:hAnsi="Times New Roman" w:cs="Times New Roman"/>
          <w:sz w:val="20"/>
          <w:szCs w:val="20"/>
        </w:rPr>
        <w:t xml:space="preserve"> months</w:t>
      </w:r>
      <w:r w:rsidRPr="00FC7420">
        <w:rPr>
          <w:rFonts w:ascii="Times New Roman" w:hAnsi="Times New Roman" w:cs="Times New Roman"/>
          <w:sz w:val="20"/>
          <w:szCs w:val="20"/>
        </w:rPr>
        <w:t xml:space="preserve"> ended </w:t>
      </w:r>
      <w:r>
        <w:rPr>
          <w:rFonts w:ascii="Times New Roman" w:hAnsi="Times New Roman" w:cs="Times New Roman"/>
          <w:sz w:val="20"/>
          <w:szCs w:val="20"/>
        </w:rPr>
        <w:t>June 30</w:t>
      </w:r>
      <w:r w:rsidRPr="00FC7420">
        <w:rPr>
          <w:rFonts w:ascii="Times New Roman" w:hAnsi="Times New Roman" w:cs="Times New Roman"/>
          <w:sz w:val="20"/>
          <w:szCs w:val="20"/>
        </w:rPr>
        <w:t>, 2021 (2020 – $</w:t>
      </w:r>
      <w:r w:rsidR="00613A18">
        <w:rPr>
          <w:rFonts w:ascii="Times New Roman" w:hAnsi="Times New Roman" w:cs="Times New Roman"/>
          <w:sz w:val="20"/>
          <w:szCs w:val="20"/>
        </w:rPr>
        <w:t>824,762</w:t>
      </w:r>
      <w:r w:rsidRPr="00FC7420">
        <w:rPr>
          <w:rFonts w:ascii="Times New Roman" w:hAnsi="Times New Roman" w:cs="Times New Roman"/>
          <w:sz w:val="20"/>
          <w:szCs w:val="20"/>
        </w:rPr>
        <w:t xml:space="preserve">). The increase in the loss is primarily due to increased operating expenses </w:t>
      </w:r>
      <w:r>
        <w:rPr>
          <w:rFonts w:ascii="Times New Roman" w:hAnsi="Times New Roman" w:cs="Times New Roman"/>
          <w:sz w:val="20"/>
          <w:szCs w:val="20"/>
        </w:rPr>
        <w:t>as the Company incurred increased administrative costs to facilitate the growth of operations</w:t>
      </w:r>
      <w:r w:rsidRPr="00FC7420">
        <w:rPr>
          <w:rFonts w:ascii="Times New Roman" w:hAnsi="Times New Roman" w:cs="Times New Roman"/>
          <w:sz w:val="20"/>
          <w:szCs w:val="20"/>
        </w:rPr>
        <w:t xml:space="preserve">. </w:t>
      </w:r>
    </w:p>
    <w:p w14:paraId="656049AB" w14:textId="135167E3" w:rsidR="00BF1655" w:rsidRDefault="00BF1655" w:rsidP="006D7D04">
      <w:pPr>
        <w:spacing w:after="0" w:line="240" w:lineRule="auto"/>
        <w:jc w:val="both"/>
        <w:rPr>
          <w:rFonts w:ascii="Times New Roman" w:hAnsi="Times New Roman" w:cs="Times New Roman"/>
          <w:sz w:val="20"/>
          <w:szCs w:val="20"/>
        </w:rPr>
      </w:pPr>
    </w:p>
    <w:p w14:paraId="1A96886A" w14:textId="072319FF" w:rsidR="00BF1655" w:rsidRDefault="00BF1655" w:rsidP="00BF165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SUMMARY OF QUARTERLY RESULTS</w:t>
      </w:r>
    </w:p>
    <w:p w14:paraId="1BFC075A" w14:textId="77777777" w:rsidR="00BF1655" w:rsidRDefault="00BF1655" w:rsidP="00BF1655">
      <w:pPr>
        <w:spacing w:after="0" w:line="240" w:lineRule="auto"/>
        <w:jc w:val="both"/>
        <w:rPr>
          <w:rFonts w:ascii="Times New Roman" w:hAnsi="Times New Roman" w:cs="Times New Roman"/>
          <w:b/>
          <w:bCs/>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23"/>
        <w:gridCol w:w="1524"/>
        <w:gridCol w:w="1524"/>
        <w:gridCol w:w="1524"/>
      </w:tblGrid>
      <w:tr w:rsidR="00BF1655" w:rsidRPr="00476ADA" w14:paraId="7F6A375A" w14:textId="77777777" w:rsidTr="00CB4F0F">
        <w:trPr>
          <w:trHeight w:val="450"/>
        </w:trPr>
        <w:tc>
          <w:tcPr>
            <w:tcW w:w="3261" w:type="dxa"/>
            <w:tcBorders>
              <w:top w:val="double" w:sz="4" w:space="0" w:color="auto"/>
              <w:bottom w:val="single" w:sz="4" w:space="0" w:color="auto"/>
            </w:tcBorders>
          </w:tcPr>
          <w:p w14:paraId="2EB2CE0E" w14:textId="77777777" w:rsidR="00BF1655" w:rsidRPr="00152D99" w:rsidRDefault="00BF1655" w:rsidP="00CB4F0F">
            <w:pPr>
              <w:rPr>
                <w:rFonts w:ascii="Times New Roman" w:hAnsi="Times New Roman" w:cs="Times New Roman"/>
                <w:sz w:val="20"/>
                <w:szCs w:val="20"/>
              </w:rPr>
            </w:pPr>
          </w:p>
        </w:tc>
        <w:tc>
          <w:tcPr>
            <w:tcW w:w="1523" w:type="dxa"/>
            <w:tcBorders>
              <w:top w:val="double" w:sz="4" w:space="0" w:color="auto"/>
              <w:bottom w:val="single" w:sz="4" w:space="0" w:color="auto"/>
            </w:tcBorders>
          </w:tcPr>
          <w:p w14:paraId="1C97B812" w14:textId="77777777" w:rsidR="00BF1655" w:rsidRPr="003625AF" w:rsidRDefault="00BF1655" w:rsidP="00CB4F0F">
            <w:pPr>
              <w:tabs>
                <w:tab w:val="decimal" w:pos="1304"/>
              </w:tabs>
              <w:rPr>
                <w:rFonts w:ascii="Times New Roman" w:hAnsi="Times New Roman" w:cs="Times New Roman"/>
                <w:b/>
                <w:bCs/>
                <w:sz w:val="20"/>
                <w:szCs w:val="20"/>
              </w:rPr>
            </w:pPr>
            <w:r w:rsidRPr="003625AF">
              <w:rPr>
                <w:rFonts w:ascii="Times New Roman" w:hAnsi="Times New Roman" w:cs="Times New Roman"/>
                <w:b/>
                <w:bCs/>
                <w:sz w:val="20"/>
                <w:szCs w:val="20"/>
              </w:rPr>
              <w:t xml:space="preserve">June 30, </w:t>
            </w:r>
          </w:p>
          <w:p w14:paraId="037D3ADF" w14:textId="77777777" w:rsidR="00BF1655" w:rsidRPr="003625AF" w:rsidRDefault="00BF1655" w:rsidP="00CB4F0F">
            <w:pPr>
              <w:tabs>
                <w:tab w:val="decimal" w:pos="1304"/>
              </w:tabs>
              <w:rPr>
                <w:rFonts w:ascii="Times New Roman" w:hAnsi="Times New Roman" w:cs="Times New Roman"/>
                <w:b/>
                <w:bCs/>
                <w:sz w:val="20"/>
                <w:szCs w:val="20"/>
              </w:rPr>
            </w:pPr>
            <w:r w:rsidRPr="003625AF">
              <w:rPr>
                <w:rFonts w:ascii="Times New Roman" w:hAnsi="Times New Roman" w:cs="Times New Roman"/>
                <w:b/>
                <w:bCs/>
                <w:sz w:val="20"/>
                <w:szCs w:val="20"/>
              </w:rPr>
              <w:t>2021</w:t>
            </w:r>
          </w:p>
        </w:tc>
        <w:tc>
          <w:tcPr>
            <w:tcW w:w="1524" w:type="dxa"/>
            <w:tcBorders>
              <w:top w:val="double" w:sz="4" w:space="0" w:color="auto"/>
              <w:bottom w:val="single" w:sz="4" w:space="0" w:color="auto"/>
            </w:tcBorders>
          </w:tcPr>
          <w:p w14:paraId="7648368E" w14:textId="77777777" w:rsidR="00BF1655" w:rsidRPr="004A1147" w:rsidRDefault="00BF1655" w:rsidP="00CB4F0F">
            <w:pPr>
              <w:tabs>
                <w:tab w:val="decimal" w:pos="1304"/>
              </w:tabs>
              <w:rPr>
                <w:rFonts w:ascii="Times New Roman" w:hAnsi="Times New Roman" w:cs="Times New Roman"/>
                <w:b/>
                <w:bCs/>
                <w:sz w:val="20"/>
                <w:szCs w:val="20"/>
              </w:rPr>
            </w:pPr>
            <w:r w:rsidRPr="004A1147">
              <w:rPr>
                <w:rFonts w:ascii="Times New Roman" w:hAnsi="Times New Roman" w:cs="Times New Roman"/>
                <w:b/>
                <w:bCs/>
                <w:sz w:val="20"/>
                <w:szCs w:val="20"/>
              </w:rPr>
              <w:t xml:space="preserve">March 31, </w:t>
            </w:r>
          </w:p>
          <w:p w14:paraId="4B61D29B" w14:textId="77777777" w:rsidR="00BF1655" w:rsidRPr="00152D99" w:rsidRDefault="00BF1655" w:rsidP="00CB4F0F">
            <w:pPr>
              <w:tabs>
                <w:tab w:val="decimal" w:pos="1304"/>
              </w:tabs>
              <w:rPr>
                <w:rFonts w:ascii="Times New Roman" w:hAnsi="Times New Roman" w:cs="Times New Roman"/>
                <w:b/>
                <w:bCs/>
                <w:sz w:val="20"/>
                <w:szCs w:val="20"/>
              </w:rPr>
            </w:pPr>
            <w:r w:rsidRPr="004A1147">
              <w:rPr>
                <w:rFonts w:ascii="Times New Roman" w:hAnsi="Times New Roman" w:cs="Times New Roman"/>
                <w:b/>
                <w:bCs/>
                <w:sz w:val="20"/>
                <w:szCs w:val="20"/>
              </w:rPr>
              <w:t>2021</w:t>
            </w:r>
          </w:p>
        </w:tc>
        <w:tc>
          <w:tcPr>
            <w:tcW w:w="1524" w:type="dxa"/>
            <w:tcBorders>
              <w:top w:val="double" w:sz="4" w:space="0" w:color="auto"/>
              <w:bottom w:val="single" w:sz="4" w:space="0" w:color="auto"/>
            </w:tcBorders>
          </w:tcPr>
          <w:p w14:paraId="02D9693E" w14:textId="77777777" w:rsidR="00BF1655" w:rsidRPr="00476ADA" w:rsidRDefault="00BF1655" w:rsidP="00CB4F0F">
            <w:pPr>
              <w:tabs>
                <w:tab w:val="decimal" w:pos="1304"/>
              </w:tabs>
              <w:rPr>
                <w:rFonts w:ascii="Times New Roman" w:hAnsi="Times New Roman" w:cs="Times New Roman"/>
                <w:b/>
                <w:bCs/>
                <w:sz w:val="20"/>
                <w:szCs w:val="20"/>
              </w:rPr>
            </w:pPr>
            <w:r w:rsidRPr="00476ADA">
              <w:rPr>
                <w:rFonts w:ascii="Times New Roman" w:hAnsi="Times New Roman" w:cs="Times New Roman"/>
                <w:b/>
                <w:bCs/>
                <w:sz w:val="20"/>
                <w:szCs w:val="20"/>
              </w:rPr>
              <w:t xml:space="preserve">December 31, </w:t>
            </w:r>
          </w:p>
          <w:p w14:paraId="69A71656" w14:textId="77777777" w:rsidR="00BF1655" w:rsidRPr="00152D99" w:rsidRDefault="00BF1655" w:rsidP="00CB4F0F">
            <w:pPr>
              <w:tabs>
                <w:tab w:val="decimal" w:pos="1304"/>
              </w:tabs>
              <w:rPr>
                <w:rFonts w:ascii="Times New Roman" w:hAnsi="Times New Roman" w:cs="Times New Roman"/>
                <w:b/>
                <w:bCs/>
                <w:sz w:val="20"/>
                <w:szCs w:val="20"/>
              </w:rPr>
            </w:pPr>
            <w:r w:rsidRPr="00476ADA">
              <w:rPr>
                <w:rFonts w:ascii="Times New Roman" w:hAnsi="Times New Roman" w:cs="Times New Roman"/>
                <w:b/>
                <w:bCs/>
                <w:sz w:val="20"/>
                <w:szCs w:val="20"/>
              </w:rPr>
              <w:t>2020</w:t>
            </w:r>
          </w:p>
        </w:tc>
        <w:tc>
          <w:tcPr>
            <w:tcW w:w="1524" w:type="dxa"/>
            <w:tcBorders>
              <w:top w:val="double" w:sz="4" w:space="0" w:color="auto"/>
              <w:bottom w:val="single" w:sz="4" w:space="0" w:color="auto"/>
            </w:tcBorders>
          </w:tcPr>
          <w:p w14:paraId="4A10BE88" w14:textId="77777777" w:rsidR="00BF1655" w:rsidRPr="00152D99" w:rsidRDefault="00BF1655" w:rsidP="00CB4F0F">
            <w:pPr>
              <w:tabs>
                <w:tab w:val="decimal" w:pos="1304"/>
              </w:tabs>
              <w:rPr>
                <w:rFonts w:ascii="Times New Roman" w:hAnsi="Times New Roman" w:cs="Times New Roman"/>
                <w:b/>
                <w:bCs/>
                <w:sz w:val="20"/>
                <w:szCs w:val="20"/>
              </w:rPr>
            </w:pPr>
            <w:r w:rsidRPr="00476ADA">
              <w:rPr>
                <w:rFonts w:ascii="Times New Roman" w:hAnsi="Times New Roman" w:cs="Times New Roman"/>
                <w:b/>
                <w:bCs/>
                <w:sz w:val="20"/>
                <w:szCs w:val="20"/>
              </w:rPr>
              <w:t>September 30,</w:t>
            </w:r>
            <w:r w:rsidRPr="00476ADA">
              <w:rPr>
                <w:rFonts w:ascii="Times New Roman" w:hAnsi="Times New Roman" w:cs="Times New Roman"/>
                <w:b/>
                <w:bCs/>
                <w:sz w:val="20"/>
                <w:szCs w:val="20"/>
              </w:rPr>
              <w:br/>
              <w:t xml:space="preserve"> 2020</w:t>
            </w:r>
          </w:p>
        </w:tc>
      </w:tr>
      <w:tr w:rsidR="00BF1655" w:rsidRPr="00476ADA" w14:paraId="228031C0" w14:textId="77777777" w:rsidTr="00CB4F0F">
        <w:trPr>
          <w:trHeight w:val="224"/>
        </w:trPr>
        <w:tc>
          <w:tcPr>
            <w:tcW w:w="3261" w:type="dxa"/>
            <w:tcBorders>
              <w:top w:val="single" w:sz="4" w:space="0" w:color="auto"/>
            </w:tcBorders>
          </w:tcPr>
          <w:p w14:paraId="28DA70A2" w14:textId="77777777" w:rsidR="00BF1655" w:rsidRPr="0029508B" w:rsidRDefault="00BF1655" w:rsidP="00CB4F0F">
            <w:pPr>
              <w:rPr>
                <w:rFonts w:ascii="Times New Roman" w:hAnsi="Times New Roman" w:cs="Times New Roman"/>
                <w:sz w:val="20"/>
                <w:szCs w:val="20"/>
              </w:rPr>
            </w:pPr>
            <w:r w:rsidRPr="0029508B">
              <w:rPr>
                <w:rFonts w:ascii="Times New Roman" w:hAnsi="Times New Roman" w:cs="Times New Roman"/>
                <w:sz w:val="20"/>
                <w:szCs w:val="20"/>
              </w:rPr>
              <w:t>Interest revenue</w:t>
            </w:r>
          </w:p>
        </w:tc>
        <w:tc>
          <w:tcPr>
            <w:tcW w:w="1523" w:type="dxa"/>
            <w:tcBorders>
              <w:top w:val="single" w:sz="4" w:space="0" w:color="auto"/>
            </w:tcBorders>
          </w:tcPr>
          <w:p w14:paraId="5F1FB0EB" w14:textId="77777777" w:rsidR="00BF1655" w:rsidRPr="003625AF" w:rsidRDefault="00BF1655" w:rsidP="00CB4F0F">
            <w:pPr>
              <w:tabs>
                <w:tab w:val="left" w:pos="0"/>
                <w:tab w:val="decimal" w:pos="1304"/>
              </w:tabs>
              <w:rPr>
                <w:rFonts w:ascii="Times New Roman" w:hAnsi="Times New Roman" w:cs="Times New Roman"/>
                <w:sz w:val="20"/>
                <w:szCs w:val="20"/>
              </w:rPr>
            </w:pPr>
            <w:r w:rsidRPr="003625AF">
              <w:rPr>
                <w:rFonts w:ascii="Times New Roman" w:hAnsi="Times New Roman" w:cs="Times New Roman"/>
                <w:sz w:val="20"/>
                <w:szCs w:val="20"/>
              </w:rPr>
              <w:t>$</w:t>
            </w:r>
            <w:r w:rsidRPr="003625AF">
              <w:rPr>
                <w:rFonts w:ascii="Times New Roman" w:hAnsi="Times New Roman" w:cs="Times New Roman"/>
                <w:sz w:val="20"/>
                <w:szCs w:val="20"/>
              </w:rPr>
              <w:tab/>
              <w:t>167,993</w:t>
            </w:r>
          </w:p>
        </w:tc>
        <w:tc>
          <w:tcPr>
            <w:tcW w:w="1524" w:type="dxa"/>
            <w:tcBorders>
              <w:top w:val="single" w:sz="4" w:space="0" w:color="auto"/>
            </w:tcBorders>
          </w:tcPr>
          <w:p w14:paraId="5DD31ECE" w14:textId="77777777" w:rsidR="00BF1655" w:rsidRPr="00FB6F41" w:rsidRDefault="00BF1655" w:rsidP="00CB4F0F">
            <w:pPr>
              <w:tabs>
                <w:tab w:val="left" w:pos="0"/>
                <w:tab w:val="decimal" w:pos="1304"/>
              </w:tabs>
              <w:rPr>
                <w:rFonts w:ascii="Times New Roman" w:hAnsi="Times New Roman" w:cs="Times New Roman"/>
                <w:sz w:val="20"/>
                <w:szCs w:val="20"/>
              </w:rPr>
            </w:pPr>
            <w:r w:rsidRPr="004A1147">
              <w:rPr>
                <w:rFonts w:ascii="Times New Roman" w:hAnsi="Times New Roman" w:cs="Times New Roman"/>
                <w:sz w:val="20"/>
                <w:szCs w:val="20"/>
              </w:rPr>
              <w:t>$</w:t>
            </w:r>
            <w:r w:rsidRPr="004A1147">
              <w:rPr>
                <w:rFonts w:ascii="Times New Roman" w:hAnsi="Times New Roman" w:cs="Times New Roman"/>
                <w:sz w:val="20"/>
                <w:szCs w:val="20"/>
              </w:rPr>
              <w:tab/>
              <w:t>185,836</w:t>
            </w:r>
          </w:p>
        </w:tc>
        <w:tc>
          <w:tcPr>
            <w:tcW w:w="1524" w:type="dxa"/>
            <w:tcBorders>
              <w:top w:val="single" w:sz="4" w:space="0" w:color="auto"/>
            </w:tcBorders>
          </w:tcPr>
          <w:p w14:paraId="0751B336" w14:textId="77777777" w:rsidR="00BF1655" w:rsidRPr="00FB6F41" w:rsidRDefault="00BF1655" w:rsidP="00CB4F0F">
            <w:pPr>
              <w:tabs>
                <w:tab w:val="left" w:pos="0"/>
                <w:tab w:val="decimal" w:pos="1304"/>
              </w:tabs>
              <w:rPr>
                <w:rFonts w:ascii="Times New Roman" w:hAnsi="Times New Roman" w:cs="Times New Roman"/>
                <w:sz w:val="20"/>
                <w:szCs w:val="20"/>
              </w:rPr>
            </w:pPr>
            <w:r w:rsidRPr="0029508B">
              <w:rPr>
                <w:rFonts w:ascii="Times New Roman" w:hAnsi="Times New Roman" w:cs="Times New Roman"/>
                <w:sz w:val="20"/>
                <w:szCs w:val="20"/>
              </w:rPr>
              <w:t>$</w:t>
            </w:r>
            <w:r w:rsidRPr="0029508B">
              <w:rPr>
                <w:rFonts w:ascii="Times New Roman" w:hAnsi="Times New Roman" w:cs="Times New Roman"/>
                <w:sz w:val="20"/>
                <w:szCs w:val="20"/>
              </w:rPr>
              <w:tab/>
            </w:r>
            <w:r w:rsidRPr="00D974F5">
              <w:rPr>
                <w:rFonts w:ascii="Times New Roman" w:hAnsi="Times New Roman" w:cs="Times New Roman"/>
                <w:sz w:val="20"/>
                <w:szCs w:val="20"/>
              </w:rPr>
              <w:t>298,848</w:t>
            </w:r>
          </w:p>
        </w:tc>
        <w:tc>
          <w:tcPr>
            <w:tcW w:w="1524" w:type="dxa"/>
            <w:tcBorders>
              <w:top w:val="single" w:sz="4" w:space="0" w:color="auto"/>
            </w:tcBorders>
          </w:tcPr>
          <w:p w14:paraId="6454C115" w14:textId="77777777" w:rsidR="00BF1655" w:rsidRPr="0029508B" w:rsidRDefault="00BF1655" w:rsidP="00CB4F0F">
            <w:pPr>
              <w:tabs>
                <w:tab w:val="left" w:pos="0"/>
                <w:tab w:val="decimal" w:pos="1304"/>
              </w:tabs>
              <w:rPr>
                <w:rFonts w:ascii="Times New Roman" w:hAnsi="Times New Roman" w:cs="Times New Roman"/>
                <w:sz w:val="20"/>
                <w:szCs w:val="20"/>
              </w:rPr>
            </w:pPr>
            <w:r w:rsidRPr="00FB6F41">
              <w:rPr>
                <w:rFonts w:ascii="Times New Roman" w:hAnsi="Times New Roman" w:cs="Times New Roman"/>
                <w:sz w:val="20"/>
                <w:szCs w:val="20"/>
              </w:rPr>
              <w:t>$</w:t>
            </w:r>
            <w:r w:rsidRPr="00FB6F41">
              <w:rPr>
                <w:rFonts w:ascii="Times New Roman" w:hAnsi="Times New Roman" w:cs="Times New Roman"/>
                <w:sz w:val="20"/>
                <w:szCs w:val="20"/>
              </w:rPr>
              <w:tab/>
              <w:t>194,584</w:t>
            </w:r>
          </w:p>
        </w:tc>
      </w:tr>
      <w:tr w:rsidR="00BF1655" w:rsidRPr="00476ADA" w14:paraId="16D47BD5" w14:textId="77777777" w:rsidTr="00CB4F0F">
        <w:trPr>
          <w:trHeight w:val="224"/>
        </w:trPr>
        <w:tc>
          <w:tcPr>
            <w:tcW w:w="3261" w:type="dxa"/>
          </w:tcPr>
          <w:p w14:paraId="2B01548A" w14:textId="6C2F6383" w:rsidR="00BF1655" w:rsidRPr="003D68E7" w:rsidRDefault="00BF1655" w:rsidP="00CB4F0F">
            <w:pPr>
              <w:rPr>
                <w:rFonts w:ascii="Times New Roman" w:hAnsi="Times New Roman"/>
                <w:sz w:val="20"/>
              </w:rPr>
            </w:pPr>
            <w:r w:rsidRPr="003D68E7">
              <w:rPr>
                <w:rFonts w:ascii="Times New Roman" w:hAnsi="Times New Roman"/>
                <w:sz w:val="20"/>
              </w:rPr>
              <w:t xml:space="preserve">Other </w:t>
            </w:r>
            <w:r w:rsidR="007708D9">
              <w:rPr>
                <w:rFonts w:ascii="Times New Roman" w:hAnsi="Times New Roman"/>
                <w:sz w:val="20"/>
              </w:rPr>
              <w:t>revenues</w:t>
            </w:r>
          </w:p>
        </w:tc>
        <w:tc>
          <w:tcPr>
            <w:tcW w:w="1523" w:type="dxa"/>
          </w:tcPr>
          <w:p w14:paraId="6D14F80A" w14:textId="3882C26C" w:rsidR="00BF1655" w:rsidRPr="003625AF" w:rsidRDefault="00CA4529" w:rsidP="00CB4F0F">
            <w:pPr>
              <w:tabs>
                <w:tab w:val="decimal" w:pos="1304"/>
              </w:tabs>
              <w:rPr>
                <w:rFonts w:ascii="Times New Roman" w:hAnsi="Times New Roman" w:cs="Times New Roman"/>
                <w:sz w:val="20"/>
                <w:szCs w:val="20"/>
              </w:rPr>
            </w:pPr>
            <w:r>
              <w:rPr>
                <w:rFonts w:ascii="Times New Roman" w:hAnsi="Times New Roman" w:cs="Times New Roman"/>
                <w:sz w:val="20"/>
                <w:szCs w:val="20"/>
              </w:rPr>
              <w:t>214,394</w:t>
            </w:r>
          </w:p>
        </w:tc>
        <w:tc>
          <w:tcPr>
            <w:tcW w:w="1524" w:type="dxa"/>
          </w:tcPr>
          <w:p w14:paraId="587C8387" w14:textId="77777777" w:rsidR="00BF1655" w:rsidRPr="00FB6F41" w:rsidRDefault="00BF1655" w:rsidP="00CB4F0F">
            <w:pPr>
              <w:tabs>
                <w:tab w:val="decimal" w:pos="1304"/>
              </w:tabs>
              <w:rPr>
                <w:rFonts w:ascii="Times New Roman" w:hAnsi="Times New Roman" w:cs="Times New Roman"/>
                <w:sz w:val="20"/>
                <w:szCs w:val="20"/>
              </w:rPr>
            </w:pPr>
            <w:r w:rsidRPr="004A1147">
              <w:rPr>
                <w:rFonts w:ascii="Times New Roman" w:hAnsi="Times New Roman" w:cs="Times New Roman"/>
                <w:sz w:val="20"/>
                <w:szCs w:val="20"/>
              </w:rPr>
              <w:t>142,573</w:t>
            </w:r>
          </w:p>
        </w:tc>
        <w:tc>
          <w:tcPr>
            <w:tcW w:w="1524" w:type="dxa"/>
          </w:tcPr>
          <w:p w14:paraId="3BCEC176" w14:textId="77777777" w:rsidR="00BF1655" w:rsidRPr="00FB6F41" w:rsidRDefault="00BF1655" w:rsidP="00CB4F0F">
            <w:pPr>
              <w:tabs>
                <w:tab w:val="decimal" w:pos="1304"/>
              </w:tabs>
              <w:rPr>
                <w:rFonts w:ascii="Times New Roman" w:hAnsi="Times New Roman" w:cs="Times New Roman"/>
                <w:sz w:val="20"/>
                <w:szCs w:val="20"/>
              </w:rPr>
            </w:pPr>
            <w:r w:rsidRPr="0029508B">
              <w:rPr>
                <w:rFonts w:ascii="Times New Roman" w:hAnsi="Times New Roman" w:cs="Times New Roman"/>
                <w:sz w:val="20"/>
                <w:szCs w:val="20"/>
              </w:rPr>
              <w:t>8</w:t>
            </w:r>
            <w:r w:rsidRPr="00D974F5">
              <w:rPr>
                <w:rFonts w:ascii="Times New Roman" w:hAnsi="Times New Roman" w:cs="Times New Roman"/>
                <w:sz w:val="20"/>
                <w:szCs w:val="20"/>
              </w:rPr>
              <w:t>7</w:t>
            </w:r>
            <w:r w:rsidRPr="0014641F">
              <w:rPr>
                <w:rFonts w:ascii="Times New Roman" w:hAnsi="Times New Roman" w:cs="Times New Roman"/>
                <w:sz w:val="20"/>
                <w:szCs w:val="20"/>
              </w:rPr>
              <w:t>,366</w:t>
            </w:r>
          </w:p>
        </w:tc>
        <w:tc>
          <w:tcPr>
            <w:tcW w:w="1524" w:type="dxa"/>
          </w:tcPr>
          <w:p w14:paraId="05E0A988" w14:textId="77777777" w:rsidR="00BF1655" w:rsidRPr="0029508B" w:rsidRDefault="00BF1655" w:rsidP="00CB4F0F">
            <w:pPr>
              <w:tabs>
                <w:tab w:val="decimal" w:pos="1304"/>
              </w:tabs>
              <w:rPr>
                <w:rFonts w:ascii="Times New Roman" w:hAnsi="Times New Roman" w:cs="Times New Roman"/>
                <w:sz w:val="20"/>
                <w:szCs w:val="20"/>
              </w:rPr>
            </w:pPr>
            <w:r w:rsidRPr="00FB6F41">
              <w:rPr>
                <w:rFonts w:ascii="Times New Roman" w:hAnsi="Times New Roman" w:cs="Times New Roman"/>
                <w:sz w:val="20"/>
                <w:szCs w:val="20"/>
              </w:rPr>
              <w:t>124,128</w:t>
            </w:r>
          </w:p>
        </w:tc>
      </w:tr>
      <w:tr w:rsidR="00BF1655" w:rsidRPr="00476ADA" w14:paraId="776C6388" w14:textId="77777777" w:rsidTr="00CB4F0F">
        <w:trPr>
          <w:trHeight w:val="224"/>
        </w:trPr>
        <w:tc>
          <w:tcPr>
            <w:tcW w:w="3261" w:type="dxa"/>
          </w:tcPr>
          <w:p w14:paraId="709F6169" w14:textId="77777777" w:rsidR="00BF1655" w:rsidRPr="00476ADA" w:rsidRDefault="00BF1655" w:rsidP="00CB4F0F">
            <w:pPr>
              <w:rPr>
                <w:rFonts w:ascii="Times New Roman" w:hAnsi="Times New Roman" w:cs="Times New Roman"/>
                <w:sz w:val="20"/>
                <w:szCs w:val="20"/>
              </w:rPr>
            </w:pPr>
            <w:r w:rsidRPr="00476ADA">
              <w:rPr>
                <w:rFonts w:ascii="Times New Roman" w:hAnsi="Times New Roman" w:cs="Times New Roman"/>
                <w:sz w:val="20"/>
                <w:szCs w:val="20"/>
              </w:rPr>
              <w:t>Net</w:t>
            </w:r>
            <w:r>
              <w:rPr>
                <w:rFonts w:ascii="Times New Roman" w:hAnsi="Times New Roman" w:cs="Times New Roman"/>
                <w:sz w:val="20"/>
                <w:szCs w:val="20"/>
              </w:rPr>
              <w:t xml:space="preserve"> loss</w:t>
            </w:r>
            <w:r w:rsidRPr="00476ADA">
              <w:rPr>
                <w:rFonts w:ascii="Times New Roman" w:hAnsi="Times New Roman" w:cs="Times New Roman"/>
                <w:sz w:val="20"/>
                <w:szCs w:val="20"/>
              </w:rPr>
              <w:t xml:space="preserve"> and comprehensive loss</w:t>
            </w:r>
          </w:p>
        </w:tc>
        <w:tc>
          <w:tcPr>
            <w:tcW w:w="1523" w:type="dxa"/>
          </w:tcPr>
          <w:p w14:paraId="2D68DA7A" w14:textId="0B69730B" w:rsidR="00BF1655" w:rsidRPr="006A4DDD" w:rsidRDefault="00BF1655" w:rsidP="00CB4F0F">
            <w:pPr>
              <w:tabs>
                <w:tab w:val="decimal" w:pos="1304"/>
              </w:tabs>
              <w:rPr>
                <w:rFonts w:ascii="Times New Roman" w:hAnsi="Times New Roman" w:cs="Times New Roman"/>
                <w:sz w:val="20"/>
                <w:szCs w:val="20"/>
                <w:highlight w:val="yellow"/>
              </w:rPr>
            </w:pPr>
            <w:r w:rsidRPr="003625AF">
              <w:rPr>
                <w:rFonts w:ascii="Times New Roman" w:hAnsi="Times New Roman" w:cs="Times New Roman"/>
                <w:sz w:val="20"/>
                <w:szCs w:val="20"/>
              </w:rPr>
              <w:t>(1,</w:t>
            </w:r>
            <w:r w:rsidR="00CA4529">
              <w:rPr>
                <w:rFonts w:ascii="Times New Roman" w:hAnsi="Times New Roman" w:cs="Times New Roman"/>
                <w:sz w:val="20"/>
                <w:szCs w:val="20"/>
              </w:rPr>
              <w:t>199,349</w:t>
            </w:r>
            <w:r w:rsidRPr="003625AF">
              <w:rPr>
                <w:rFonts w:ascii="Times New Roman" w:hAnsi="Times New Roman" w:cs="Times New Roman"/>
                <w:sz w:val="20"/>
                <w:szCs w:val="20"/>
              </w:rPr>
              <w:t>)</w:t>
            </w:r>
          </w:p>
        </w:tc>
        <w:tc>
          <w:tcPr>
            <w:tcW w:w="1524" w:type="dxa"/>
          </w:tcPr>
          <w:p w14:paraId="2A92525D" w14:textId="77777777" w:rsidR="00BF1655" w:rsidRPr="00476ADA" w:rsidRDefault="00BF1655" w:rsidP="00CB4F0F">
            <w:pPr>
              <w:tabs>
                <w:tab w:val="decimal" w:pos="1304"/>
              </w:tabs>
              <w:rPr>
                <w:rFonts w:ascii="Times New Roman" w:hAnsi="Times New Roman" w:cs="Times New Roman"/>
                <w:sz w:val="20"/>
                <w:szCs w:val="20"/>
              </w:rPr>
            </w:pPr>
            <w:r w:rsidRPr="004A1147">
              <w:rPr>
                <w:rFonts w:ascii="Times New Roman" w:hAnsi="Times New Roman" w:cs="Times New Roman"/>
                <w:sz w:val="20"/>
                <w:szCs w:val="20"/>
              </w:rPr>
              <w:t>(1,</w:t>
            </w:r>
            <w:r>
              <w:rPr>
                <w:rFonts w:ascii="Times New Roman" w:hAnsi="Times New Roman" w:cs="Times New Roman"/>
                <w:sz w:val="20"/>
                <w:szCs w:val="20"/>
              </w:rPr>
              <w:t>452,448</w:t>
            </w:r>
            <w:r w:rsidRPr="004A1147">
              <w:rPr>
                <w:rFonts w:ascii="Times New Roman" w:hAnsi="Times New Roman" w:cs="Times New Roman"/>
                <w:sz w:val="20"/>
                <w:szCs w:val="20"/>
              </w:rPr>
              <w:t>)</w:t>
            </w:r>
          </w:p>
        </w:tc>
        <w:tc>
          <w:tcPr>
            <w:tcW w:w="1524" w:type="dxa"/>
          </w:tcPr>
          <w:p w14:paraId="4A6E7DAB"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(1,</w:t>
            </w:r>
            <w:r>
              <w:rPr>
                <w:rFonts w:ascii="Times New Roman" w:hAnsi="Times New Roman" w:cs="Times New Roman"/>
                <w:sz w:val="20"/>
                <w:szCs w:val="20"/>
              </w:rPr>
              <w:t>406,904</w:t>
            </w:r>
            <w:r w:rsidRPr="00476ADA">
              <w:rPr>
                <w:rFonts w:ascii="Times New Roman" w:hAnsi="Times New Roman" w:cs="Times New Roman"/>
                <w:sz w:val="20"/>
                <w:szCs w:val="20"/>
              </w:rPr>
              <w:t>)</w:t>
            </w:r>
          </w:p>
        </w:tc>
        <w:tc>
          <w:tcPr>
            <w:tcW w:w="1524" w:type="dxa"/>
          </w:tcPr>
          <w:p w14:paraId="0BD7F8B1"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(593,142)</w:t>
            </w:r>
          </w:p>
        </w:tc>
      </w:tr>
      <w:tr w:rsidR="00BF1655" w:rsidRPr="00476ADA" w14:paraId="611270A7" w14:textId="77777777" w:rsidTr="00CB4F0F">
        <w:trPr>
          <w:trHeight w:val="224"/>
        </w:trPr>
        <w:tc>
          <w:tcPr>
            <w:tcW w:w="3261" w:type="dxa"/>
          </w:tcPr>
          <w:p w14:paraId="14335251" w14:textId="77777777" w:rsidR="00BF1655" w:rsidRPr="00476ADA" w:rsidRDefault="00BF1655" w:rsidP="00CB4F0F">
            <w:pPr>
              <w:rPr>
                <w:rFonts w:ascii="Times New Roman" w:hAnsi="Times New Roman" w:cs="Times New Roman"/>
                <w:sz w:val="20"/>
                <w:szCs w:val="20"/>
              </w:rPr>
            </w:pPr>
            <w:r w:rsidRPr="00476ADA">
              <w:rPr>
                <w:rFonts w:ascii="Times New Roman" w:hAnsi="Times New Roman" w:cs="Times New Roman"/>
                <w:sz w:val="20"/>
                <w:szCs w:val="20"/>
              </w:rPr>
              <w:t>Assets</w:t>
            </w:r>
          </w:p>
        </w:tc>
        <w:tc>
          <w:tcPr>
            <w:tcW w:w="1523" w:type="dxa"/>
          </w:tcPr>
          <w:p w14:paraId="0FE9B549" w14:textId="676F1D3F" w:rsidR="00BF1655" w:rsidRPr="003625AF" w:rsidRDefault="00BF1655" w:rsidP="00CB4F0F">
            <w:pPr>
              <w:tabs>
                <w:tab w:val="decimal" w:pos="1304"/>
              </w:tabs>
              <w:rPr>
                <w:rFonts w:ascii="Times New Roman" w:hAnsi="Times New Roman" w:cs="Times New Roman"/>
                <w:sz w:val="20"/>
                <w:szCs w:val="20"/>
              </w:rPr>
            </w:pPr>
            <w:r w:rsidRPr="003625AF">
              <w:rPr>
                <w:rFonts w:ascii="Times New Roman" w:hAnsi="Times New Roman" w:cs="Times New Roman"/>
                <w:sz w:val="20"/>
                <w:szCs w:val="20"/>
              </w:rPr>
              <w:t>4,</w:t>
            </w:r>
            <w:r w:rsidR="00CA4529">
              <w:rPr>
                <w:rFonts w:ascii="Times New Roman" w:hAnsi="Times New Roman" w:cs="Times New Roman"/>
                <w:sz w:val="20"/>
                <w:szCs w:val="20"/>
              </w:rPr>
              <w:t>5</w:t>
            </w:r>
            <w:r w:rsidRPr="003625AF">
              <w:rPr>
                <w:rFonts w:ascii="Times New Roman" w:hAnsi="Times New Roman" w:cs="Times New Roman"/>
                <w:sz w:val="20"/>
                <w:szCs w:val="20"/>
              </w:rPr>
              <w:t>81,184</w:t>
            </w:r>
          </w:p>
        </w:tc>
        <w:tc>
          <w:tcPr>
            <w:tcW w:w="1524" w:type="dxa"/>
          </w:tcPr>
          <w:p w14:paraId="13DC6C6B" w14:textId="77777777" w:rsidR="00BF1655" w:rsidRPr="00476ADA" w:rsidRDefault="00BF1655" w:rsidP="00CB4F0F">
            <w:pPr>
              <w:tabs>
                <w:tab w:val="decimal" w:pos="1304"/>
              </w:tabs>
              <w:rPr>
                <w:rFonts w:ascii="Times New Roman" w:hAnsi="Times New Roman" w:cs="Times New Roman"/>
                <w:sz w:val="20"/>
                <w:szCs w:val="20"/>
              </w:rPr>
            </w:pPr>
            <w:r w:rsidRPr="00B65CAE">
              <w:rPr>
                <w:rFonts w:ascii="Times New Roman" w:hAnsi="Times New Roman" w:cs="Times New Roman"/>
                <w:sz w:val="20"/>
                <w:szCs w:val="20"/>
              </w:rPr>
              <w:t>4,</w:t>
            </w:r>
            <w:r>
              <w:rPr>
                <w:rFonts w:ascii="Times New Roman" w:hAnsi="Times New Roman" w:cs="Times New Roman"/>
                <w:sz w:val="20"/>
                <w:szCs w:val="20"/>
              </w:rPr>
              <w:t>252,985</w:t>
            </w:r>
          </w:p>
        </w:tc>
        <w:tc>
          <w:tcPr>
            <w:tcW w:w="1524" w:type="dxa"/>
          </w:tcPr>
          <w:p w14:paraId="0A37EF82"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4,571,913</w:t>
            </w:r>
          </w:p>
        </w:tc>
        <w:tc>
          <w:tcPr>
            <w:tcW w:w="1524" w:type="dxa"/>
          </w:tcPr>
          <w:p w14:paraId="1EEC0F44"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4,385,247</w:t>
            </w:r>
          </w:p>
        </w:tc>
      </w:tr>
      <w:tr w:rsidR="00BF1655" w:rsidRPr="00476ADA" w14:paraId="77EB001F" w14:textId="77777777" w:rsidTr="00CB4F0F">
        <w:trPr>
          <w:trHeight w:val="224"/>
        </w:trPr>
        <w:tc>
          <w:tcPr>
            <w:tcW w:w="3261" w:type="dxa"/>
          </w:tcPr>
          <w:p w14:paraId="1B78A56A" w14:textId="77777777" w:rsidR="00BF1655" w:rsidRPr="00476ADA" w:rsidRDefault="00BF1655" w:rsidP="00CB4F0F">
            <w:pPr>
              <w:rPr>
                <w:rFonts w:ascii="Times New Roman" w:hAnsi="Times New Roman" w:cs="Times New Roman"/>
                <w:sz w:val="20"/>
                <w:szCs w:val="20"/>
              </w:rPr>
            </w:pPr>
            <w:r>
              <w:rPr>
                <w:rFonts w:ascii="Times New Roman" w:hAnsi="Times New Roman" w:cs="Times New Roman"/>
                <w:sz w:val="20"/>
                <w:szCs w:val="20"/>
              </w:rPr>
              <w:t>Non-current financial liabilities</w:t>
            </w:r>
          </w:p>
        </w:tc>
        <w:tc>
          <w:tcPr>
            <w:tcW w:w="1523" w:type="dxa"/>
          </w:tcPr>
          <w:p w14:paraId="7E6E98D0" w14:textId="77777777" w:rsidR="00BF1655" w:rsidRPr="003625AF" w:rsidRDefault="00BF1655" w:rsidP="00CB4F0F">
            <w:pPr>
              <w:tabs>
                <w:tab w:val="decimal" w:pos="1304"/>
              </w:tabs>
              <w:rPr>
                <w:rFonts w:ascii="Times New Roman" w:hAnsi="Times New Roman" w:cs="Times New Roman"/>
                <w:sz w:val="20"/>
                <w:szCs w:val="20"/>
              </w:rPr>
            </w:pPr>
            <w:r w:rsidRPr="003625AF">
              <w:rPr>
                <w:rFonts w:ascii="Times New Roman" w:hAnsi="Times New Roman" w:cs="Times New Roman"/>
                <w:sz w:val="20"/>
                <w:szCs w:val="20"/>
              </w:rPr>
              <w:t>2,739,593</w:t>
            </w:r>
          </w:p>
        </w:tc>
        <w:tc>
          <w:tcPr>
            <w:tcW w:w="1524" w:type="dxa"/>
          </w:tcPr>
          <w:p w14:paraId="73E96470" w14:textId="77777777" w:rsidR="00BF1655" w:rsidRPr="00476ADA" w:rsidRDefault="00BF1655" w:rsidP="00CB4F0F">
            <w:pPr>
              <w:tabs>
                <w:tab w:val="decimal" w:pos="1304"/>
              </w:tabs>
              <w:rPr>
                <w:rFonts w:ascii="Times New Roman" w:hAnsi="Times New Roman" w:cs="Times New Roman"/>
                <w:sz w:val="20"/>
                <w:szCs w:val="20"/>
              </w:rPr>
            </w:pPr>
            <w:r w:rsidRPr="004A1147">
              <w:rPr>
                <w:rFonts w:ascii="Times New Roman" w:hAnsi="Times New Roman" w:cs="Times New Roman"/>
                <w:sz w:val="20"/>
                <w:szCs w:val="20"/>
              </w:rPr>
              <w:t>3,303,676</w:t>
            </w:r>
          </w:p>
        </w:tc>
        <w:tc>
          <w:tcPr>
            <w:tcW w:w="1524" w:type="dxa"/>
          </w:tcPr>
          <w:p w14:paraId="5BBF06B6"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1,489,592</w:t>
            </w:r>
          </w:p>
        </w:tc>
        <w:tc>
          <w:tcPr>
            <w:tcW w:w="1524" w:type="dxa"/>
          </w:tcPr>
          <w:p w14:paraId="4A714EDB"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4,201,162</w:t>
            </w:r>
          </w:p>
        </w:tc>
      </w:tr>
      <w:tr w:rsidR="00BF1655" w:rsidRPr="00476ADA" w14:paraId="2F29FFD3" w14:textId="77777777" w:rsidTr="00CB4F0F">
        <w:trPr>
          <w:trHeight w:val="224"/>
        </w:trPr>
        <w:tc>
          <w:tcPr>
            <w:tcW w:w="3261" w:type="dxa"/>
            <w:tcBorders>
              <w:bottom w:val="single" w:sz="4" w:space="0" w:color="auto"/>
            </w:tcBorders>
          </w:tcPr>
          <w:p w14:paraId="0D7099EE" w14:textId="77777777" w:rsidR="00BF1655" w:rsidRPr="00476ADA" w:rsidRDefault="00BF1655" w:rsidP="00CB4F0F">
            <w:pPr>
              <w:ind w:right="-397"/>
              <w:rPr>
                <w:rFonts w:ascii="Times New Roman" w:hAnsi="Times New Roman" w:cs="Times New Roman"/>
                <w:sz w:val="20"/>
                <w:szCs w:val="20"/>
              </w:rPr>
            </w:pPr>
            <w:r w:rsidRPr="00476ADA">
              <w:rPr>
                <w:rFonts w:ascii="Times New Roman" w:hAnsi="Times New Roman" w:cs="Times New Roman"/>
                <w:sz w:val="20"/>
                <w:szCs w:val="20"/>
              </w:rPr>
              <w:t>Basic and diluted loss per share</w:t>
            </w:r>
          </w:p>
        </w:tc>
        <w:tc>
          <w:tcPr>
            <w:tcW w:w="1523" w:type="dxa"/>
            <w:tcBorders>
              <w:bottom w:val="single" w:sz="4" w:space="0" w:color="auto"/>
            </w:tcBorders>
          </w:tcPr>
          <w:p w14:paraId="33CDEBE5" w14:textId="2CC1F931" w:rsidR="00BF1655" w:rsidRPr="006A4DDD" w:rsidRDefault="00BF1655" w:rsidP="00CB4F0F">
            <w:pPr>
              <w:tabs>
                <w:tab w:val="decimal" w:pos="1304"/>
              </w:tabs>
              <w:rPr>
                <w:rFonts w:ascii="Times New Roman" w:hAnsi="Times New Roman" w:cs="Times New Roman"/>
                <w:sz w:val="20"/>
                <w:szCs w:val="20"/>
                <w:highlight w:val="yellow"/>
              </w:rPr>
            </w:pPr>
            <w:r w:rsidRPr="003625AF">
              <w:rPr>
                <w:rFonts w:ascii="Times New Roman" w:hAnsi="Times New Roman" w:cs="Times New Roman"/>
                <w:sz w:val="20"/>
                <w:szCs w:val="20"/>
              </w:rPr>
              <w:t>(0.0</w:t>
            </w:r>
            <w:r w:rsidR="00CA4529">
              <w:rPr>
                <w:rFonts w:ascii="Times New Roman" w:hAnsi="Times New Roman" w:cs="Times New Roman"/>
                <w:sz w:val="20"/>
                <w:szCs w:val="20"/>
              </w:rPr>
              <w:t>2</w:t>
            </w:r>
            <w:r w:rsidRPr="003625AF">
              <w:rPr>
                <w:rFonts w:ascii="Times New Roman" w:hAnsi="Times New Roman" w:cs="Times New Roman"/>
                <w:sz w:val="20"/>
                <w:szCs w:val="20"/>
              </w:rPr>
              <w:t>)</w:t>
            </w:r>
          </w:p>
        </w:tc>
        <w:tc>
          <w:tcPr>
            <w:tcW w:w="1524" w:type="dxa"/>
            <w:tcBorders>
              <w:bottom w:val="single" w:sz="4" w:space="0" w:color="auto"/>
            </w:tcBorders>
          </w:tcPr>
          <w:p w14:paraId="7DDF7F03" w14:textId="77777777" w:rsidR="00BF1655" w:rsidRPr="00476ADA" w:rsidRDefault="00BF1655" w:rsidP="00CB4F0F">
            <w:pPr>
              <w:tabs>
                <w:tab w:val="decimal" w:pos="1304"/>
              </w:tabs>
              <w:rPr>
                <w:rFonts w:ascii="Times New Roman" w:hAnsi="Times New Roman" w:cs="Times New Roman"/>
                <w:sz w:val="20"/>
                <w:szCs w:val="20"/>
              </w:rPr>
            </w:pPr>
            <w:r w:rsidRPr="004A1147">
              <w:rPr>
                <w:rFonts w:ascii="Times New Roman" w:hAnsi="Times New Roman" w:cs="Times New Roman"/>
                <w:sz w:val="20"/>
                <w:szCs w:val="20"/>
              </w:rPr>
              <w:t>(0.02)</w:t>
            </w:r>
          </w:p>
        </w:tc>
        <w:tc>
          <w:tcPr>
            <w:tcW w:w="1524" w:type="dxa"/>
            <w:tcBorders>
              <w:bottom w:val="single" w:sz="4" w:space="0" w:color="auto"/>
            </w:tcBorders>
          </w:tcPr>
          <w:p w14:paraId="02189998"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w:t>
            </w:r>
            <w:r>
              <w:rPr>
                <w:rFonts w:ascii="Times New Roman" w:hAnsi="Times New Roman" w:cs="Times New Roman"/>
                <w:sz w:val="20"/>
                <w:szCs w:val="20"/>
              </w:rPr>
              <w:t>2</w:t>
            </w:r>
            <w:r w:rsidRPr="00476ADA">
              <w:rPr>
                <w:rFonts w:ascii="Times New Roman" w:hAnsi="Times New Roman" w:cs="Times New Roman"/>
                <w:sz w:val="20"/>
                <w:szCs w:val="20"/>
              </w:rPr>
              <w:t>)</w:t>
            </w:r>
          </w:p>
        </w:tc>
        <w:tc>
          <w:tcPr>
            <w:tcW w:w="1524" w:type="dxa"/>
            <w:tcBorders>
              <w:bottom w:val="single" w:sz="4" w:space="0" w:color="auto"/>
            </w:tcBorders>
          </w:tcPr>
          <w:p w14:paraId="04C9074E"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(0.01)</w:t>
            </w:r>
          </w:p>
        </w:tc>
      </w:tr>
      <w:tr w:rsidR="00BF1655" w:rsidRPr="00476ADA" w14:paraId="1A7A748F" w14:textId="77777777" w:rsidTr="00CB4F0F">
        <w:trPr>
          <w:trHeight w:val="224"/>
        </w:trPr>
        <w:tc>
          <w:tcPr>
            <w:tcW w:w="3261" w:type="dxa"/>
            <w:tcBorders>
              <w:top w:val="single" w:sz="4" w:space="0" w:color="auto"/>
            </w:tcBorders>
          </w:tcPr>
          <w:p w14:paraId="79480CDE" w14:textId="77777777" w:rsidR="00BF1655" w:rsidRPr="00152D99" w:rsidRDefault="00BF1655" w:rsidP="00CB4F0F">
            <w:pPr>
              <w:rPr>
                <w:rFonts w:ascii="Times New Roman" w:hAnsi="Times New Roman" w:cs="Times New Roman"/>
                <w:sz w:val="20"/>
                <w:szCs w:val="20"/>
              </w:rPr>
            </w:pPr>
          </w:p>
        </w:tc>
        <w:tc>
          <w:tcPr>
            <w:tcW w:w="1523" w:type="dxa"/>
            <w:tcBorders>
              <w:top w:val="single" w:sz="4" w:space="0" w:color="auto"/>
            </w:tcBorders>
          </w:tcPr>
          <w:p w14:paraId="5C229FB0" w14:textId="77777777" w:rsidR="00BF1655" w:rsidRPr="00152D99" w:rsidRDefault="00BF1655" w:rsidP="00CB4F0F">
            <w:pPr>
              <w:ind w:left="47" w:right="-328"/>
              <w:rPr>
                <w:rFonts w:ascii="Times New Roman" w:hAnsi="Times New Roman" w:cs="Times New Roman"/>
                <w:sz w:val="20"/>
                <w:szCs w:val="20"/>
              </w:rPr>
            </w:pPr>
          </w:p>
        </w:tc>
        <w:tc>
          <w:tcPr>
            <w:tcW w:w="1524" w:type="dxa"/>
            <w:tcBorders>
              <w:top w:val="single" w:sz="4" w:space="0" w:color="auto"/>
            </w:tcBorders>
          </w:tcPr>
          <w:p w14:paraId="37550EE9" w14:textId="77777777" w:rsidR="00BF1655" w:rsidRPr="00152D99" w:rsidRDefault="00BF1655" w:rsidP="00CB4F0F">
            <w:pPr>
              <w:rPr>
                <w:rFonts w:ascii="Times New Roman" w:hAnsi="Times New Roman" w:cs="Times New Roman"/>
                <w:sz w:val="20"/>
                <w:szCs w:val="20"/>
              </w:rPr>
            </w:pPr>
          </w:p>
        </w:tc>
        <w:tc>
          <w:tcPr>
            <w:tcW w:w="1524" w:type="dxa"/>
            <w:tcBorders>
              <w:top w:val="single" w:sz="4" w:space="0" w:color="auto"/>
            </w:tcBorders>
          </w:tcPr>
          <w:p w14:paraId="5529D0AB" w14:textId="77777777" w:rsidR="00BF1655" w:rsidRPr="00152D99" w:rsidRDefault="00BF1655" w:rsidP="00CB4F0F">
            <w:pPr>
              <w:rPr>
                <w:rFonts w:ascii="Times New Roman" w:hAnsi="Times New Roman" w:cs="Times New Roman"/>
                <w:sz w:val="20"/>
                <w:szCs w:val="20"/>
              </w:rPr>
            </w:pPr>
          </w:p>
        </w:tc>
        <w:tc>
          <w:tcPr>
            <w:tcW w:w="1524" w:type="dxa"/>
            <w:tcBorders>
              <w:top w:val="single" w:sz="4" w:space="0" w:color="auto"/>
            </w:tcBorders>
          </w:tcPr>
          <w:p w14:paraId="403709A9" w14:textId="77777777" w:rsidR="00BF1655" w:rsidRPr="00152D99" w:rsidRDefault="00BF1655" w:rsidP="00CB4F0F">
            <w:pPr>
              <w:rPr>
                <w:rFonts w:ascii="Times New Roman" w:hAnsi="Times New Roman" w:cs="Times New Roman"/>
                <w:sz w:val="20"/>
                <w:szCs w:val="20"/>
              </w:rPr>
            </w:pPr>
          </w:p>
        </w:tc>
      </w:tr>
      <w:tr w:rsidR="00BF1655" w:rsidRPr="00476ADA" w14:paraId="4F4834E4" w14:textId="77777777" w:rsidTr="00CB4F0F">
        <w:trPr>
          <w:trHeight w:val="450"/>
        </w:trPr>
        <w:tc>
          <w:tcPr>
            <w:tcW w:w="3261" w:type="dxa"/>
            <w:tcBorders>
              <w:bottom w:val="single" w:sz="4" w:space="0" w:color="auto"/>
            </w:tcBorders>
          </w:tcPr>
          <w:p w14:paraId="66D65575" w14:textId="77777777" w:rsidR="00BF1655" w:rsidRPr="00152D99" w:rsidRDefault="00BF1655" w:rsidP="00CB4F0F">
            <w:pPr>
              <w:rPr>
                <w:rFonts w:ascii="Times New Roman" w:hAnsi="Times New Roman" w:cs="Times New Roman"/>
                <w:sz w:val="20"/>
                <w:szCs w:val="20"/>
              </w:rPr>
            </w:pPr>
          </w:p>
        </w:tc>
        <w:tc>
          <w:tcPr>
            <w:tcW w:w="1523" w:type="dxa"/>
            <w:tcBorders>
              <w:bottom w:val="single" w:sz="4" w:space="0" w:color="auto"/>
            </w:tcBorders>
          </w:tcPr>
          <w:p w14:paraId="47995C98" w14:textId="77777777" w:rsidR="00BF1655" w:rsidRPr="00152D99" w:rsidRDefault="00BF1655" w:rsidP="00CB4F0F">
            <w:pPr>
              <w:tabs>
                <w:tab w:val="decimal" w:pos="1304"/>
              </w:tabs>
              <w:rPr>
                <w:rFonts w:ascii="Times New Roman" w:hAnsi="Times New Roman" w:cs="Times New Roman"/>
                <w:b/>
                <w:bCs/>
                <w:sz w:val="20"/>
                <w:szCs w:val="20"/>
              </w:rPr>
            </w:pPr>
            <w:r w:rsidRPr="00476ADA">
              <w:rPr>
                <w:rFonts w:ascii="Times New Roman" w:hAnsi="Times New Roman" w:cs="Times New Roman"/>
                <w:b/>
                <w:bCs/>
                <w:sz w:val="20"/>
                <w:szCs w:val="20"/>
              </w:rPr>
              <w:t>June 30,</w:t>
            </w:r>
            <w:r w:rsidRPr="00476ADA">
              <w:rPr>
                <w:rFonts w:ascii="Times New Roman" w:hAnsi="Times New Roman" w:cs="Times New Roman"/>
                <w:b/>
                <w:bCs/>
                <w:sz w:val="20"/>
                <w:szCs w:val="20"/>
              </w:rPr>
              <w:br/>
              <w:t xml:space="preserve"> 2020</w:t>
            </w:r>
          </w:p>
        </w:tc>
        <w:tc>
          <w:tcPr>
            <w:tcW w:w="1524" w:type="dxa"/>
            <w:tcBorders>
              <w:bottom w:val="single" w:sz="4" w:space="0" w:color="auto"/>
            </w:tcBorders>
          </w:tcPr>
          <w:p w14:paraId="61820D0E" w14:textId="77777777" w:rsidR="00BF1655" w:rsidRPr="00152D99" w:rsidRDefault="00BF1655" w:rsidP="00CB4F0F">
            <w:pPr>
              <w:tabs>
                <w:tab w:val="decimal" w:pos="1304"/>
              </w:tabs>
              <w:rPr>
                <w:rFonts w:ascii="Times New Roman" w:hAnsi="Times New Roman" w:cs="Times New Roman"/>
                <w:b/>
                <w:bCs/>
                <w:sz w:val="20"/>
                <w:szCs w:val="20"/>
              </w:rPr>
            </w:pPr>
            <w:r w:rsidRPr="00476ADA">
              <w:rPr>
                <w:rFonts w:ascii="Times New Roman" w:hAnsi="Times New Roman" w:cs="Times New Roman"/>
                <w:b/>
                <w:bCs/>
                <w:sz w:val="20"/>
                <w:szCs w:val="20"/>
              </w:rPr>
              <w:t>March 31,</w:t>
            </w:r>
            <w:r w:rsidRPr="00476ADA">
              <w:rPr>
                <w:rFonts w:ascii="Times New Roman" w:hAnsi="Times New Roman" w:cs="Times New Roman"/>
                <w:b/>
                <w:bCs/>
                <w:sz w:val="20"/>
                <w:szCs w:val="20"/>
              </w:rPr>
              <w:br/>
              <w:t xml:space="preserve"> 2020</w:t>
            </w:r>
          </w:p>
        </w:tc>
        <w:tc>
          <w:tcPr>
            <w:tcW w:w="1524" w:type="dxa"/>
            <w:tcBorders>
              <w:bottom w:val="single" w:sz="4" w:space="0" w:color="auto"/>
            </w:tcBorders>
          </w:tcPr>
          <w:p w14:paraId="553BCA1F" w14:textId="77777777" w:rsidR="00BF1655" w:rsidRPr="00152D99"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b/>
                <w:bCs/>
                <w:sz w:val="20"/>
                <w:szCs w:val="20"/>
              </w:rPr>
              <w:t>December 31, 2019</w:t>
            </w:r>
          </w:p>
        </w:tc>
        <w:tc>
          <w:tcPr>
            <w:tcW w:w="1524" w:type="dxa"/>
            <w:tcBorders>
              <w:bottom w:val="single" w:sz="4" w:space="0" w:color="auto"/>
            </w:tcBorders>
          </w:tcPr>
          <w:p w14:paraId="71C5E0A6" w14:textId="77777777" w:rsidR="00BF1655" w:rsidRPr="00152D99"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b/>
                <w:bCs/>
                <w:sz w:val="20"/>
                <w:szCs w:val="20"/>
              </w:rPr>
              <w:t>September 30,</w:t>
            </w:r>
            <w:r w:rsidRPr="00476ADA">
              <w:rPr>
                <w:rFonts w:ascii="Times New Roman" w:hAnsi="Times New Roman" w:cs="Times New Roman"/>
                <w:b/>
                <w:bCs/>
                <w:sz w:val="20"/>
                <w:szCs w:val="20"/>
              </w:rPr>
              <w:br/>
              <w:t xml:space="preserve"> 2019</w:t>
            </w:r>
          </w:p>
        </w:tc>
      </w:tr>
      <w:tr w:rsidR="00BF1655" w:rsidRPr="00476ADA" w14:paraId="34449D00" w14:textId="77777777" w:rsidTr="00CB4F0F">
        <w:trPr>
          <w:trHeight w:val="224"/>
        </w:trPr>
        <w:tc>
          <w:tcPr>
            <w:tcW w:w="3261" w:type="dxa"/>
            <w:tcBorders>
              <w:top w:val="single" w:sz="4" w:space="0" w:color="auto"/>
            </w:tcBorders>
          </w:tcPr>
          <w:p w14:paraId="202200F2" w14:textId="77777777" w:rsidR="00BF1655" w:rsidRPr="00476ADA" w:rsidRDefault="00BF1655" w:rsidP="00CB4F0F">
            <w:pPr>
              <w:rPr>
                <w:rFonts w:ascii="Times New Roman" w:hAnsi="Times New Roman" w:cs="Times New Roman"/>
                <w:sz w:val="20"/>
                <w:szCs w:val="20"/>
              </w:rPr>
            </w:pPr>
            <w:r w:rsidRPr="00476ADA">
              <w:rPr>
                <w:rFonts w:ascii="Times New Roman" w:hAnsi="Times New Roman" w:cs="Times New Roman"/>
                <w:sz w:val="20"/>
                <w:szCs w:val="20"/>
              </w:rPr>
              <w:t>Interest revenue</w:t>
            </w:r>
          </w:p>
        </w:tc>
        <w:tc>
          <w:tcPr>
            <w:tcW w:w="1523" w:type="dxa"/>
            <w:tcBorders>
              <w:top w:val="single" w:sz="4" w:space="0" w:color="auto"/>
            </w:tcBorders>
          </w:tcPr>
          <w:p w14:paraId="538B0FE4" w14:textId="77777777" w:rsidR="00BF1655" w:rsidRPr="00476ADA" w:rsidRDefault="00BF1655" w:rsidP="00CB4F0F">
            <w:pPr>
              <w:tabs>
                <w:tab w:val="left" w:pos="0"/>
                <w:tab w:val="decimal" w:pos="1304"/>
              </w:tabs>
              <w:rPr>
                <w:rFonts w:ascii="Times New Roman" w:hAnsi="Times New Roman" w:cs="Times New Roman"/>
                <w:sz w:val="20"/>
                <w:szCs w:val="20"/>
              </w:rPr>
            </w:pPr>
            <w:r w:rsidRPr="00FB6F41">
              <w:rPr>
                <w:rFonts w:ascii="Times New Roman" w:hAnsi="Times New Roman" w:cs="Times New Roman"/>
                <w:sz w:val="20"/>
                <w:szCs w:val="20"/>
              </w:rPr>
              <w:t>$</w:t>
            </w:r>
            <w:r w:rsidRPr="00FB6F41">
              <w:rPr>
                <w:rFonts w:ascii="Times New Roman" w:hAnsi="Times New Roman" w:cs="Times New Roman"/>
                <w:sz w:val="20"/>
                <w:szCs w:val="20"/>
              </w:rPr>
              <w:tab/>
              <w:t>185,948</w:t>
            </w:r>
          </w:p>
        </w:tc>
        <w:tc>
          <w:tcPr>
            <w:tcW w:w="1524" w:type="dxa"/>
            <w:tcBorders>
              <w:top w:val="single" w:sz="4" w:space="0" w:color="auto"/>
            </w:tcBorders>
          </w:tcPr>
          <w:p w14:paraId="18ED7EB7" w14:textId="77777777" w:rsidR="00BF1655" w:rsidRPr="00476ADA" w:rsidRDefault="00BF1655" w:rsidP="00CB4F0F">
            <w:pPr>
              <w:tabs>
                <w:tab w:val="left" w:pos="0"/>
                <w:tab w:val="decimal" w:pos="1304"/>
              </w:tabs>
              <w:rPr>
                <w:rFonts w:ascii="Times New Roman" w:hAnsi="Times New Roman" w:cs="Times New Roman"/>
                <w:sz w:val="20"/>
                <w:szCs w:val="20"/>
              </w:rPr>
            </w:pPr>
            <w:r w:rsidRPr="0029508B">
              <w:rPr>
                <w:rFonts w:ascii="Times New Roman" w:hAnsi="Times New Roman" w:cs="Times New Roman"/>
                <w:sz w:val="20"/>
                <w:szCs w:val="20"/>
              </w:rPr>
              <w:t>$</w:t>
            </w:r>
            <w:r w:rsidRPr="0029508B">
              <w:rPr>
                <w:rFonts w:ascii="Times New Roman" w:hAnsi="Times New Roman" w:cs="Times New Roman"/>
                <w:sz w:val="20"/>
                <w:szCs w:val="20"/>
              </w:rPr>
              <w:tab/>
              <w:t>198,454</w:t>
            </w:r>
          </w:p>
        </w:tc>
        <w:tc>
          <w:tcPr>
            <w:tcW w:w="1524" w:type="dxa"/>
            <w:tcBorders>
              <w:top w:val="single" w:sz="4" w:space="0" w:color="auto"/>
            </w:tcBorders>
          </w:tcPr>
          <w:p w14:paraId="6A22E0A2" w14:textId="77777777" w:rsidR="00BF1655" w:rsidRPr="00476ADA" w:rsidRDefault="00BF1655" w:rsidP="00CB4F0F">
            <w:pPr>
              <w:tabs>
                <w:tab w:val="left" w:pos="0"/>
                <w:tab w:val="decimal" w:pos="1304"/>
              </w:tabs>
              <w:rPr>
                <w:rFonts w:ascii="Times New Roman" w:hAnsi="Times New Roman" w:cs="Times New Roman"/>
                <w:sz w:val="20"/>
                <w:szCs w:val="20"/>
              </w:rPr>
            </w:pPr>
            <w:r w:rsidRPr="00476ADA">
              <w:rPr>
                <w:rFonts w:ascii="Times New Roman" w:hAnsi="Times New Roman" w:cs="Times New Roman"/>
                <w:sz w:val="20"/>
                <w:szCs w:val="20"/>
              </w:rPr>
              <w:t>$          175,829</w:t>
            </w:r>
          </w:p>
        </w:tc>
        <w:tc>
          <w:tcPr>
            <w:tcW w:w="1524" w:type="dxa"/>
            <w:tcBorders>
              <w:top w:val="single" w:sz="4" w:space="0" w:color="auto"/>
            </w:tcBorders>
          </w:tcPr>
          <w:p w14:paraId="5710A2DB" w14:textId="77777777" w:rsidR="00BF1655" w:rsidRPr="00476ADA" w:rsidRDefault="00BF1655" w:rsidP="00CB4F0F">
            <w:pPr>
              <w:tabs>
                <w:tab w:val="left" w:pos="0"/>
                <w:tab w:val="decimal" w:pos="1304"/>
              </w:tabs>
              <w:rPr>
                <w:rFonts w:ascii="Times New Roman" w:hAnsi="Times New Roman" w:cs="Times New Roman"/>
                <w:sz w:val="20"/>
                <w:szCs w:val="20"/>
              </w:rPr>
            </w:pPr>
            <w:r w:rsidRPr="00476ADA">
              <w:rPr>
                <w:rFonts w:ascii="Times New Roman" w:hAnsi="Times New Roman" w:cs="Times New Roman"/>
                <w:sz w:val="20"/>
                <w:szCs w:val="20"/>
              </w:rPr>
              <w:t>$</w:t>
            </w:r>
            <w:r w:rsidRPr="00476ADA">
              <w:rPr>
                <w:rFonts w:ascii="Times New Roman" w:hAnsi="Times New Roman" w:cs="Times New Roman"/>
                <w:sz w:val="20"/>
                <w:szCs w:val="20"/>
              </w:rPr>
              <w:tab/>
              <w:t>146,259</w:t>
            </w:r>
          </w:p>
        </w:tc>
      </w:tr>
      <w:tr w:rsidR="00BF1655" w:rsidRPr="00476ADA" w14:paraId="7B6D5FEF" w14:textId="77777777" w:rsidTr="00CB4F0F">
        <w:trPr>
          <w:trHeight w:val="224"/>
        </w:trPr>
        <w:tc>
          <w:tcPr>
            <w:tcW w:w="3261" w:type="dxa"/>
          </w:tcPr>
          <w:p w14:paraId="4747E2FD" w14:textId="16BEE65D" w:rsidR="00BF1655" w:rsidRPr="00476ADA" w:rsidRDefault="00BF1655" w:rsidP="00CB4F0F">
            <w:pPr>
              <w:rPr>
                <w:rFonts w:ascii="Times New Roman" w:hAnsi="Times New Roman" w:cs="Times New Roman"/>
                <w:sz w:val="20"/>
                <w:szCs w:val="20"/>
              </w:rPr>
            </w:pPr>
            <w:r w:rsidRPr="003D68E7">
              <w:rPr>
                <w:rFonts w:ascii="Times New Roman" w:hAnsi="Times New Roman"/>
                <w:sz w:val="20"/>
              </w:rPr>
              <w:t xml:space="preserve">Other </w:t>
            </w:r>
            <w:r w:rsidR="007708D9">
              <w:rPr>
                <w:rFonts w:ascii="Times New Roman" w:hAnsi="Times New Roman"/>
                <w:sz w:val="20"/>
              </w:rPr>
              <w:t>revenues</w:t>
            </w:r>
          </w:p>
        </w:tc>
        <w:tc>
          <w:tcPr>
            <w:tcW w:w="1523" w:type="dxa"/>
          </w:tcPr>
          <w:p w14:paraId="2BDBE385" w14:textId="77777777" w:rsidR="00BF1655" w:rsidRPr="00476ADA" w:rsidRDefault="00BF1655" w:rsidP="00CB4F0F">
            <w:pPr>
              <w:tabs>
                <w:tab w:val="decimal" w:pos="1304"/>
              </w:tabs>
              <w:rPr>
                <w:rFonts w:ascii="Times New Roman" w:hAnsi="Times New Roman" w:cs="Times New Roman"/>
                <w:sz w:val="20"/>
                <w:szCs w:val="20"/>
              </w:rPr>
            </w:pPr>
            <w:r w:rsidRPr="00FB6F41">
              <w:rPr>
                <w:rFonts w:ascii="Times New Roman" w:hAnsi="Times New Roman" w:cs="Times New Roman"/>
                <w:sz w:val="20"/>
                <w:szCs w:val="20"/>
              </w:rPr>
              <w:t>70,055</w:t>
            </w:r>
          </w:p>
        </w:tc>
        <w:tc>
          <w:tcPr>
            <w:tcW w:w="1524" w:type="dxa"/>
          </w:tcPr>
          <w:p w14:paraId="2DB43677" w14:textId="77777777" w:rsidR="00BF1655" w:rsidRPr="00476ADA" w:rsidRDefault="00BF1655" w:rsidP="00CB4F0F">
            <w:pPr>
              <w:tabs>
                <w:tab w:val="decimal" w:pos="1304"/>
              </w:tabs>
              <w:rPr>
                <w:rFonts w:ascii="Times New Roman" w:hAnsi="Times New Roman" w:cs="Times New Roman"/>
                <w:sz w:val="20"/>
                <w:szCs w:val="20"/>
              </w:rPr>
            </w:pPr>
            <w:r w:rsidRPr="0029508B">
              <w:rPr>
                <w:rFonts w:ascii="Times New Roman" w:hAnsi="Times New Roman" w:cs="Times New Roman"/>
                <w:sz w:val="20"/>
                <w:szCs w:val="20"/>
              </w:rPr>
              <w:t>86,333</w:t>
            </w:r>
          </w:p>
        </w:tc>
        <w:tc>
          <w:tcPr>
            <w:tcW w:w="1524" w:type="dxa"/>
          </w:tcPr>
          <w:p w14:paraId="759A4234"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105,097</w:t>
            </w:r>
          </w:p>
        </w:tc>
        <w:tc>
          <w:tcPr>
            <w:tcW w:w="1524" w:type="dxa"/>
          </w:tcPr>
          <w:p w14:paraId="39EAAFF7"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78,835</w:t>
            </w:r>
          </w:p>
        </w:tc>
      </w:tr>
      <w:tr w:rsidR="00BF1655" w:rsidRPr="00476ADA" w14:paraId="3CD50437" w14:textId="77777777" w:rsidTr="00CB4F0F">
        <w:trPr>
          <w:trHeight w:val="224"/>
        </w:trPr>
        <w:tc>
          <w:tcPr>
            <w:tcW w:w="3261" w:type="dxa"/>
          </w:tcPr>
          <w:p w14:paraId="2E063F6C" w14:textId="77777777" w:rsidR="00BF1655" w:rsidRPr="00476ADA" w:rsidRDefault="00BF1655" w:rsidP="00CB4F0F">
            <w:pPr>
              <w:rPr>
                <w:rFonts w:ascii="Times New Roman" w:hAnsi="Times New Roman" w:cs="Times New Roman"/>
                <w:sz w:val="20"/>
                <w:szCs w:val="20"/>
              </w:rPr>
            </w:pPr>
            <w:r w:rsidRPr="00476ADA">
              <w:rPr>
                <w:rFonts w:ascii="Times New Roman" w:hAnsi="Times New Roman" w:cs="Times New Roman"/>
                <w:sz w:val="20"/>
                <w:szCs w:val="20"/>
              </w:rPr>
              <w:t xml:space="preserve">Net </w:t>
            </w:r>
            <w:r>
              <w:rPr>
                <w:rFonts w:ascii="Times New Roman" w:hAnsi="Times New Roman" w:cs="Times New Roman"/>
                <w:sz w:val="20"/>
                <w:szCs w:val="20"/>
              </w:rPr>
              <w:t xml:space="preserve">loss </w:t>
            </w:r>
            <w:r w:rsidRPr="00476ADA">
              <w:rPr>
                <w:rFonts w:ascii="Times New Roman" w:hAnsi="Times New Roman" w:cs="Times New Roman"/>
                <w:sz w:val="20"/>
                <w:szCs w:val="20"/>
              </w:rPr>
              <w:t>and comprehensive loss</w:t>
            </w:r>
          </w:p>
        </w:tc>
        <w:tc>
          <w:tcPr>
            <w:tcW w:w="1523" w:type="dxa"/>
          </w:tcPr>
          <w:p w14:paraId="40BBE5C8"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(724,353)</w:t>
            </w:r>
          </w:p>
        </w:tc>
        <w:tc>
          <w:tcPr>
            <w:tcW w:w="1524" w:type="dxa"/>
          </w:tcPr>
          <w:p w14:paraId="036AF171"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(826,331)</w:t>
            </w:r>
          </w:p>
        </w:tc>
        <w:tc>
          <w:tcPr>
            <w:tcW w:w="1524" w:type="dxa"/>
          </w:tcPr>
          <w:p w14:paraId="38BD2FFA"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(1,275,064)</w:t>
            </w:r>
          </w:p>
        </w:tc>
        <w:tc>
          <w:tcPr>
            <w:tcW w:w="1524" w:type="dxa"/>
          </w:tcPr>
          <w:p w14:paraId="4CE65EF0"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(726,789)</w:t>
            </w:r>
          </w:p>
        </w:tc>
      </w:tr>
      <w:tr w:rsidR="00BF1655" w:rsidRPr="00476ADA" w14:paraId="2E3BF31D" w14:textId="77777777" w:rsidTr="00CB4F0F">
        <w:trPr>
          <w:trHeight w:val="224"/>
        </w:trPr>
        <w:tc>
          <w:tcPr>
            <w:tcW w:w="3261" w:type="dxa"/>
          </w:tcPr>
          <w:p w14:paraId="530F8274" w14:textId="77777777" w:rsidR="00BF1655" w:rsidRPr="00476ADA" w:rsidRDefault="00BF1655" w:rsidP="00CB4F0F">
            <w:pPr>
              <w:rPr>
                <w:rFonts w:ascii="Times New Roman" w:hAnsi="Times New Roman" w:cs="Times New Roman"/>
                <w:sz w:val="20"/>
                <w:szCs w:val="20"/>
              </w:rPr>
            </w:pPr>
            <w:r w:rsidRPr="00476ADA">
              <w:rPr>
                <w:rFonts w:ascii="Times New Roman" w:hAnsi="Times New Roman" w:cs="Times New Roman"/>
                <w:sz w:val="20"/>
                <w:szCs w:val="20"/>
              </w:rPr>
              <w:t>Assets</w:t>
            </w:r>
          </w:p>
        </w:tc>
        <w:tc>
          <w:tcPr>
            <w:tcW w:w="1523" w:type="dxa"/>
          </w:tcPr>
          <w:p w14:paraId="150C7921"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4,596,311</w:t>
            </w:r>
          </w:p>
        </w:tc>
        <w:tc>
          <w:tcPr>
            <w:tcW w:w="1524" w:type="dxa"/>
          </w:tcPr>
          <w:p w14:paraId="1A8FAA6D"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4,849,827</w:t>
            </w:r>
          </w:p>
        </w:tc>
        <w:tc>
          <w:tcPr>
            <w:tcW w:w="1524" w:type="dxa"/>
          </w:tcPr>
          <w:p w14:paraId="1489DD5C"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5,141,305</w:t>
            </w:r>
          </w:p>
        </w:tc>
        <w:tc>
          <w:tcPr>
            <w:tcW w:w="1524" w:type="dxa"/>
          </w:tcPr>
          <w:p w14:paraId="07FDCA06"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6,574,462</w:t>
            </w:r>
          </w:p>
        </w:tc>
      </w:tr>
      <w:tr w:rsidR="00BF1655" w:rsidRPr="00476ADA" w14:paraId="3B3469EA" w14:textId="77777777" w:rsidTr="00CB4F0F">
        <w:trPr>
          <w:trHeight w:val="224"/>
        </w:trPr>
        <w:tc>
          <w:tcPr>
            <w:tcW w:w="3261" w:type="dxa"/>
          </w:tcPr>
          <w:p w14:paraId="4CEA7C72" w14:textId="77777777" w:rsidR="00BF1655" w:rsidRPr="00476ADA" w:rsidRDefault="00BF1655" w:rsidP="00CB4F0F">
            <w:pPr>
              <w:rPr>
                <w:rFonts w:ascii="Times New Roman" w:hAnsi="Times New Roman" w:cs="Times New Roman"/>
                <w:sz w:val="20"/>
                <w:szCs w:val="20"/>
              </w:rPr>
            </w:pPr>
            <w:r>
              <w:rPr>
                <w:rFonts w:ascii="Times New Roman" w:hAnsi="Times New Roman" w:cs="Times New Roman"/>
                <w:sz w:val="20"/>
                <w:szCs w:val="20"/>
              </w:rPr>
              <w:t>Non-current financial liabilities</w:t>
            </w:r>
          </w:p>
        </w:tc>
        <w:tc>
          <w:tcPr>
            <w:tcW w:w="1523" w:type="dxa"/>
          </w:tcPr>
          <w:p w14:paraId="5AB5043E"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4,235,147</w:t>
            </w:r>
          </w:p>
        </w:tc>
        <w:tc>
          <w:tcPr>
            <w:tcW w:w="1524" w:type="dxa"/>
          </w:tcPr>
          <w:p w14:paraId="6D70AEC3"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4,260,229</w:t>
            </w:r>
          </w:p>
        </w:tc>
        <w:tc>
          <w:tcPr>
            <w:tcW w:w="1524" w:type="dxa"/>
          </w:tcPr>
          <w:p w14:paraId="16ED72CB"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4,670,492</w:t>
            </w:r>
          </w:p>
        </w:tc>
        <w:tc>
          <w:tcPr>
            <w:tcW w:w="1524" w:type="dxa"/>
          </w:tcPr>
          <w:p w14:paraId="2E598447" w14:textId="77777777" w:rsidR="00BF1655" w:rsidRPr="00476ADA" w:rsidRDefault="00BF1655" w:rsidP="00CB4F0F">
            <w:pPr>
              <w:tabs>
                <w:tab w:val="decimal" w:pos="1304"/>
              </w:tabs>
              <w:rPr>
                <w:rFonts w:ascii="Times New Roman" w:hAnsi="Times New Roman" w:cs="Times New Roman"/>
                <w:sz w:val="20"/>
                <w:szCs w:val="20"/>
              </w:rPr>
            </w:pPr>
            <w:r>
              <w:rPr>
                <w:rFonts w:ascii="Times New Roman" w:hAnsi="Times New Roman" w:cs="Times New Roman"/>
                <w:sz w:val="20"/>
                <w:szCs w:val="20"/>
              </w:rPr>
              <w:t>4,743,900</w:t>
            </w:r>
          </w:p>
        </w:tc>
      </w:tr>
      <w:tr w:rsidR="00BF1655" w:rsidRPr="00476ADA" w14:paraId="2C167129" w14:textId="77777777" w:rsidTr="00CB4F0F">
        <w:trPr>
          <w:trHeight w:val="224"/>
        </w:trPr>
        <w:tc>
          <w:tcPr>
            <w:tcW w:w="3261" w:type="dxa"/>
            <w:tcBorders>
              <w:bottom w:val="double" w:sz="4" w:space="0" w:color="auto"/>
            </w:tcBorders>
          </w:tcPr>
          <w:p w14:paraId="64D012D8" w14:textId="77777777" w:rsidR="00BF1655" w:rsidRPr="00476ADA" w:rsidRDefault="00BF1655" w:rsidP="00CB4F0F">
            <w:pPr>
              <w:ind w:right="-255"/>
              <w:rPr>
                <w:rFonts w:ascii="Times New Roman" w:hAnsi="Times New Roman" w:cs="Times New Roman"/>
                <w:sz w:val="20"/>
                <w:szCs w:val="20"/>
              </w:rPr>
            </w:pPr>
            <w:r w:rsidRPr="00476ADA">
              <w:rPr>
                <w:rFonts w:ascii="Times New Roman" w:hAnsi="Times New Roman" w:cs="Times New Roman"/>
                <w:sz w:val="20"/>
                <w:szCs w:val="20"/>
              </w:rPr>
              <w:t>Basic and diluted loss per share</w:t>
            </w:r>
          </w:p>
        </w:tc>
        <w:tc>
          <w:tcPr>
            <w:tcW w:w="1523" w:type="dxa"/>
            <w:tcBorders>
              <w:bottom w:val="double" w:sz="4" w:space="0" w:color="auto"/>
            </w:tcBorders>
          </w:tcPr>
          <w:p w14:paraId="1D6FC455"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(0.01)</w:t>
            </w:r>
          </w:p>
        </w:tc>
        <w:tc>
          <w:tcPr>
            <w:tcW w:w="1524" w:type="dxa"/>
            <w:tcBorders>
              <w:bottom w:val="double" w:sz="4" w:space="0" w:color="auto"/>
            </w:tcBorders>
          </w:tcPr>
          <w:p w14:paraId="63CBBEE1"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(0.01)</w:t>
            </w:r>
          </w:p>
        </w:tc>
        <w:tc>
          <w:tcPr>
            <w:tcW w:w="1524" w:type="dxa"/>
            <w:tcBorders>
              <w:bottom w:val="double" w:sz="4" w:space="0" w:color="auto"/>
            </w:tcBorders>
          </w:tcPr>
          <w:p w14:paraId="1A669AF4"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(0.01)</w:t>
            </w:r>
          </w:p>
        </w:tc>
        <w:tc>
          <w:tcPr>
            <w:tcW w:w="1524" w:type="dxa"/>
            <w:tcBorders>
              <w:bottom w:val="double" w:sz="4" w:space="0" w:color="auto"/>
            </w:tcBorders>
          </w:tcPr>
          <w:p w14:paraId="6D53349E" w14:textId="77777777" w:rsidR="00BF1655" w:rsidRPr="00476ADA" w:rsidRDefault="00BF1655" w:rsidP="00CB4F0F">
            <w:pPr>
              <w:tabs>
                <w:tab w:val="decimal" w:pos="1304"/>
              </w:tabs>
              <w:rPr>
                <w:rFonts w:ascii="Times New Roman" w:hAnsi="Times New Roman" w:cs="Times New Roman"/>
                <w:sz w:val="20"/>
                <w:szCs w:val="20"/>
              </w:rPr>
            </w:pPr>
            <w:r w:rsidRPr="00476ADA">
              <w:rPr>
                <w:rFonts w:ascii="Times New Roman" w:hAnsi="Times New Roman" w:cs="Times New Roman"/>
                <w:sz w:val="20"/>
                <w:szCs w:val="20"/>
              </w:rPr>
              <w:t>(0.01)</w:t>
            </w:r>
          </w:p>
        </w:tc>
      </w:tr>
    </w:tbl>
    <w:p w14:paraId="3BA24ECC" w14:textId="77777777" w:rsidR="009770EF" w:rsidRPr="00A4460C" w:rsidRDefault="009770EF" w:rsidP="00A4460C">
      <w:pPr>
        <w:spacing w:after="0" w:line="240" w:lineRule="auto"/>
        <w:rPr>
          <w:rFonts w:ascii="Times New Roman" w:hAnsi="Times New Roman" w:cs="Times New Roman"/>
          <w:b/>
          <w:sz w:val="20"/>
          <w:szCs w:val="20"/>
        </w:rPr>
      </w:pPr>
    </w:p>
    <w:p w14:paraId="511A6F35" w14:textId="6DFEDE61" w:rsidR="00CA4529" w:rsidRDefault="00CA4529" w:rsidP="009770EF">
      <w:pPr>
        <w:spacing w:after="0" w:line="240" w:lineRule="auto"/>
        <w:rPr>
          <w:rFonts w:ascii="Times New Roman" w:hAnsi="Times New Roman" w:cs="Times New Roman"/>
          <w:b/>
          <w:sz w:val="20"/>
          <w:szCs w:val="20"/>
        </w:rPr>
      </w:pPr>
    </w:p>
    <w:p w14:paraId="65A621BA" w14:textId="01F6F198" w:rsidR="000B364D" w:rsidRDefault="000B364D" w:rsidP="009770EF">
      <w:pPr>
        <w:spacing w:after="0" w:line="240" w:lineRule="auto"/>
        <w:rPr>
          <w:rFonts w:ascii="Times New Roman" w:hAnsi="Times New Roman" w:cs="Times New Roman"/>
          <w:b/>
          <w:sz w:val="20"/>
          <w:szCs w:val="20"/>
        </w:rPr>
      </w:pPr>
    </w:p>
    <w:p w14:paraId="799F01FF" w14:textId="7BCA5B1E" w:rsidR="000B364D" w:rsidRDefault="000B364D" w:rsidP="009770EF">
      <w:pPr>
        <w:spacing w:after="0" w:line="240" w:lineRule="auto"/>
        <w:rPr>
          <w:rFonts w:ascii="Times New Roman" w:hAnsi="Times New Roman" w:cs="Times New Roman"/>
          <w:b/>
          <w:sz w:val="20"/>
          <w:szCs w:val="20"/>
        </w:rPr>
      </w:pPr>
    </w:p>
    <w:p w14:paraId="1D168377" w14:textId="77777777" w:rsidR="000B364D" w:rsidRDefault="000B364D" w:rsidP="009770EF">
      <w:pPr>
        <w:spacing w:after="0" w:line="240" w:lineRule="auto"/>
        <w:rPr>
          <w:rFonts w:ascii="Times New Roman" w:hAnsi="Times New Roman" w:cs="Times New Roman"/>
          <w:b/>
          <w:sz w:val="20"/>
          <w:szCs w:val="20"/>
        </w:rPr>
      </w:pPr>
    </w:p>
    <w:p w14:paraId="411E294B" w14:textId="77777777" w:rsidR="00CA4529" w:rsidRDefault="00CA4529" w:rsidP="009770EF">
      <w:pPr>
        <w:spacing w:after="0" w:line="240" w:lineRule="auto"/>
        <w:rPr>
          <w:rFonts w:ascii="Times New Roman" w:hAnsi="Times New Roman" w:cs="Times New Roman"/>
          <w:b/>
          <w:sz w:val="20"/>
          <w:szCs w:val="20"/>
        </w:rPr>
      </w:pPr>
    </w:p>
    <w:p w14:paraId="71725779" w14:textId="528E88AD" w:rsidR="00BF1655" w:rsidRDefault="00BF1655" w:rsidP="009770EF">
      <w:pPr>
        <w:spacing w:after="0" w:line="240" w:lineRule="auto"/>
        <w:rPr>
          <w:rFonts w:ascii="Times New Roman" w:hAnsi="Times New Roman" w:cs="Times New Roman"/>
          <w:b/>
          <w:sz w:val="20"/>
          <w:szCs w:val="20"/>
          <w:lang w:eastAsia="en-CA"/>
        </w:rPr>
      </w:pPr>
      <w:r w:rsidRPr="00A4460C">
        <w:rPr>
          <w:rFonts w:ascii="Times New Roman" w:hAnsi="Times New Roman" w:cs="Times New Roman"/>
          <w:b/>
          <w:sz w:val="20"/>
          <w:szCs w:val="20"/>
        </w:rPr>
        <w:t>LIQUIDITY</w:t>
      </w:r>
      <w:r w:rsidRPr="00A4460C">
        <w:rPr>
          <w:rFonts w:ascii="Times New Roman" w:hAnsi="Times New Roman" w:cs="Times New Roman"/>
          <w:b/>
          <w:sz w:val="20"/>
          <w:szCs w:val="20"/>
          <w:lang w:eastAsia="en-CA"/>
        </w:rPr>
        <w:t xml:space="preserve"> AND CAPITAL RESOURCES</w:t>
      </w:r>
    </w:p>
    <w:p w14:paraId="17CA3E6A" w14:textId="77777777" w:rsidR="009770EF" w:rsidRPr="00A4460C" w:rsidRDefault="009770EF" w:rsidP="00A4460C">
      <w:pPr>
        <w:spacing w:after="0" w:line="240" w:lineRule="auto"/>
        <w:rPr>
          <w:rFonts w:ascii="Times New Roman" w:hAnsi="Times New Roman" w:cs="Times New Roman"/>
          <w:b/>
          <w:sz w:val="20"/>
          <w:szCs w:val="20"/>
          <w:lang w:eastAsia="en-CA"/>
        </w:rPr>
      </w:pPr>
    </w:p>
    <w:p w14:paraId="19AB9D1E" w14:textId="59DE31D3" w:rsidR="001806B0" w:rsidRPr="00093EB8" w:rsidRDefault="001806B0" w:rsidP="001806B0">
      <w:pPr>
        <w:pStyle w:val="BodyText"/>
        <w:spacing w:after="0" w:line="240" w:lineRule="auto"/>
        <w:jc w:val="both"/>
        <w:rPr>
          <w:rFonts w:ascii="Times New Roman" w:hAnsi="Times New Roman" w:cs="Times New Roman"/>
          <w:sz w:val="20"/>
          <w:szCs w:val="20"/>
        </w:rPr>
      </w:pPr>
      <w:r w:rsidRPr="00A37F86">
        <w:rPr>
          <w:rFonts w:ascii="Times New Roman" w:hAnsi="Times New Roman" w:cs="Times New Roman"/>
          <w:sz w:val="20"/>
          <w:szCs w:val="20"/>
        </w:rPr>
        <w:t xml:space="preserve">As </w:t>
      </w:r>
      <w:proofErr w:type="gramStart"/>
      <w:r w:rsidRPr="00A37F86">
        <w:rPr>
          <w:rFonts w:ascii="Times New Roman" w:hAnsi="Times New Roman" w:cs="Times New Roman"/>
          <w:sz w:val="20"/>
          <w:szCs w:val="20"/>
        </w:rPr>
        <w:t>at</w:t>
      </w:r>
      <w:proofErr w:type="gramEnd"/>
      <w:r w:rsidRPr="00A37F86">
        <w:rPr>
          <w:rFonts w:ascii="Times New Roman" w:hAnsi="Times New Roman" w:cs="Times New Roman"/>
          <w:sz w:val="20"/>
          <w:szCs w:val="20"/>
        </w:rPr>
        <w:t xml:space="preserve"> June 30, 2021, the Company had a working capital deficit of $3,</w:t>
      </w:r>
      <w:r w:rsidR="00CA4529">
        <w:rPr>
          <w:rFonts w:ascii="Times New Roman" w:hAnsi="Times New Roman" w:cs="Times New Roman"/>
          <w:sz w:val="20"/>
          <w:szCs w:val="20"/>
        </w:rPr>
        <w:t>283,943</w:t>
      </w:r>
      <w:r w:rsidRPr="00A37F86">
        <w:rPr>
          <w:rFonts w:ascii="Times New Roman" w:hAnsi="Times New Roman" w:cs="Times New Roman"/>
          <w:sz w:val="20"/>
          <w:szCs w:val="20"/>
        </w:rPr>
        <w:t xml:space="preserve"> (December 31, 2020 – $1,140,280).  The Company has relied upon debt and equity financings to finance its operations and meet its capital requirements.  During the period ended June 30, 2021, the Company received proceeds of $1,</w:t>
      </w:r>
      <w:r w:rsidR="00CA4529">
        <w:rPr>
          <w:rFonts w:ascii="Times New Roman" w:hAnsi="Times New Roman" w:cs="Times New Roman"/>
          <w:sz w:val="20"/>
          <w:szCs w:val="20"/>
        </w:rPr>
        <w:t>0</w:t>
      </w:r>
      <w:r w:rsidRPr="00A37F86">
        <w:rPr>
          <w:rFonts w:ascii="Times New Roman" w:hAnsi="Times New Roman" w:cs="Times New Roman"/>
          <w:sz w:val="20"/>
          <w:szCs w:val="20"/>
        </w:rPr>
        <w:t xml:space="preserve">93,700 from non-brokered private </w:t>
      </w:r>
      <w:r w:rsidRPr="00093EB8">
        <w:rPr>
          <w:rFonts w:ascii="Times New Roman" w:hAnsi="Times New Roman" w:cs="Times New Roman"/>
          <w:sz w:val="20"/>
          <w:szCs w:val="20"/>
        </w:rPr>
        <w:t>placements, net of share issuance costs</w:t>
      </w:r>
      <w:r>
        <w:rPr>
          <w:rFonts w:ascii="Times New Roman" w:hAnsi="Times New Roman" w:cs="Times New Roman"/>
          <w:sz w:val="20"/>
          <w:szCs w:val="20"/>
        </w:rPr>
        <w:t xml:space="preserve"> and received proceeds of $1,262,850 from a convertible debenture financing, net of debt issuance costs</w:t>
      </w:r>
      <w:r w:rsidRPr="00093EB8">
        <w:rPr>
          <w:rFonts w:ascii="Times New Roman" w:hAnsi="Times New Roman" w:cs="Times New Roman"/>
          <w:sz w:val="20"/>
          <w:szCs w:val="20"/>
        </w:rPr>
        <w:t xml:space="preserve">.  The Company manages the capital structure and </w:t>
      </w:r>
      <w:proofErr w:type="gramStart"/>
      <w:r w:rsidRPr="00093EB8">
        <w:rPr>
          <w:rFonts w:ascii="Times New Roman" w:hAnsi="Times New Roman" w:cs="Times New Roman"/>
          <w:sz w:val="20"/>
          <w:szCs w:val="20"/>
        </w:rPr>
        <w:t>makes adjustments to</w:t>
      </w:r>
      <w:proofErr w:type="gramEnd"/>
      <w:r w:rsidRPr="00093EB8">
        <w:rPr>
          <w:rFonts w:ascii="Times New Roman" w:hAnsi="Times New Roman" w:cs="Times New Roman"/>
          <w:sz w:val="20"/>
          <w:szCs w:val="20"/>
        </w:rPr>
        <w:t xml:space="preserve"> it in light of changes in economic conditions and the risk characteristics of the underlying assets.  To maintain or adjust the capital structure and the amount of cash, the Company may issue new shares or debt or acquire or dispose of assets.</w:t>
      </w:r>
    </w:p>
    <w:p w14:paraId="67B74051" w14:textId="77777777" w:rsidR="001806B0" w:rsidRPr="00093EB8" w:rsidRDefault="001806B0" w:rsidP="001806B0">
      <w:pPr>
        <w:pStyle w:val="BodyText"/>
        <w:spacing w:after="0" w:line="240" w:lineRule="auto"/>
        <w:jc w:val="both"/>
        <w:rPr>
          <w:rFonts w:ascii="Times New Roman" w:hAnsi="Times New Roman" w:cs="Times New Roman"/>
          <w:sz w:val="20"/>
          <w:szCs w:val="20"/>
        </w:rPr>
      </w:pPr>
    </w:p>
    <w:p w14:paraId="7C2B5B02" w14:textId="77777777" w:rsidR="001806B0" w:rsidRPr="00EB729F" w:rsidRDefault="001806B0" w:rsidP="001806B0">
      <w:pPr>
        <w:pStyle w:val="BodyText"/>
        <w:spacing w:after="0" w:line="240" w:lineRule="auto"/>
        <w:jc w:val="both"/>
        <w:rPr>
          <w:rFonts w:ascii="Times New Roman" w:hAnsi="Times New Roman" w:cs="Times New Roman"/>
          <w:sz w:val="20"/>
          <w:szCs w:val="20"/>
        </w:rPr>
      </w:pPr>
      <w:r w:rsidRPr="00093EB8">
        <w:rPr>
          <w:rFonts w:ascii="Times New Roman" w:hAnsi="Times New Roman" w:cs="Times New Roman"/>
          <w:sz w:val="20"/>
          <w:szCs w:val="20"/>
        </w:rPr>
        <w:t xml:space="preserve">The Company’s objectives when managing its liquidity and capital resources is to maintain a sufficient capital base to sustain and grow its overall operations, ensure adequate capital to fund bond redemptions, debenture redemptions, and sinking fund obligations, and provide adequate capital to fund future developments of the business. The Company has </w:t>
      </w:r>
      <w:r w:rsidRPr="00EB729F">
        <w:rPr>
          <w:rFonts w:ascii="Times New Roman" w:hAnsi="Times New Roman" w:cs="Times New Roman"/>
          <w:sz w:val="20"/>
          <w:szCs w:val="20"/>
        </w:rPr>
        <w:t xml:space="preserve">deferred the principal repayments on the sinking fund obligations until the Company is </w:t>
      </w:r>
      <w:proofErr w:type="gramStart"/>
      <w:r w:rsidRPr="00EB729F">
        <w:rPr>
          <w:rFonts w:ascii="Times New Roman" w:hAnsi="Times New Roman" w:cs="Times New Roman"/>
          <w:sz w:val="20"/>
          <w:szCs w:val="20"/>
        </w:rPr>
        <w:t>in a position</w:t>
      </w:r>
      <w:proofErr w:type="gramEnd"/>
      <w:r w:rsidRPr="00EB729F">
        <w:rPr>
          <w:rFonts w:ascii="Times New Roman" w:hAnsi="Times New Roman" w:cs="Times New Roman"/>
          <w:sz w:val="20"/>
          <w:szCs w:val="20"/>
        </w:rPr>
        <w:t xml:space="preserve"> to make the cash payments.</w:t>
      </w:r>
    </w:p>
    <w:p w14:paraId="156C322E" w14:textId="0ABCF724" w:rsidR="001806B0" w:rsidRDefault="001806B0" w:rsidP="006D7D04">
      <w:pPr>
        <w:spacing w:after="0" w:line="240" w:lineRule="auto"/>
        <w:jc w:val="both"/>
        <w:rPr>
          <w:rFonts w:ascii="Times New Roman" w:hAnsi="Times New Roman" w:cs="Times New Roman"/>
          <w:sz w:val="20"/>
          <w:szCs w:val="20"/>
        </w:rPr>
      </w:pPr>
    </w:p>
    <w:p w14:paraId="0E61DFFF" w14:textId="153412E4" w:rsidR="001806B0" w:rsidRPr="00F0696B" w:rsidRDefault="001806B0" w:rsidP="006D7D04">
      <w:pPr>
        <w:spacing w:after="0" w:line="240" w:lineRule="auto"/>
        <w:jc w:val="both"/>
        <w:rPr>
          <w:rFonts w:ascii="Times New Roman" w:hAnsi="Times New Roman" w:cs="Times New Roman"/>
          <w:b/>
          <w:i/>
          <w:sz w:val="20"/>
          <w:szCs w:val="20"/>
        </w:rPr>
      </w:pPr>
      <w:r w:rsidRPr="00F0696B">
        <w:rPr>
          <w:rFonts w:ascii="Times New Roman" w:hAnsi="Times New Roman" w:cs="Times New Roman"/>
          <w:b/>
          <w:i/>
          <w:sz w:val="20"/>
          <w:szCs w:val="20"/>
        </w:rPr>
        <w:t>Summary of cash flows</w:t>
      </w:r>
    </w:p>
    <w:p w14:paraId="704FCEDE" w14:textId="77777777" w:rsidR="001806B0" w:rsidRDefault="001806B0" w:rsidP="006D7D04">
      <w:pPr>
        <w:spacing w:after="0" w:line="240" w:lineRule="auto"/>
        <w:jc w:val="both"/>
        <w:rPr>
          <w:rFonts w:ascii="Times New Roman" w:hAnsi="Times New Roman" w:cs="Times New Roman"/>
          <w:sz w:val="20"/>
          <w:szCs w:val="20"/>
        </w:rPr>
      </w:pPr>
    </w:p>
    <w:p w14:paraId="3E430EAB" w14:textId="28819795" w:rsidR="006D7D04" w:rsidRPr="00143932" w:rsidRDefault="00BF1655" w:rsidP="006D7D04">
      <w:pPr>
        <w:spacing w:after="0" w:line="240" w:lineRule="auto"/>
        <w:jc w:val="both"/>
        <w:rPr>
          <w:rFonts w:ascii="Times New Roman" w:hAnsi="Times New Roman" w:cs="Times New Roman"/>
          <w:sz w:val="20"/>
          <w:szCs w:val="20"/>
        </w:rPr>
      </w:pPr>
      <w:r w:rsidRPr="00143932">
        <w:rPr>
          <w:rFonts w:ascii="Times New Roman" w:hAnsi="Times New Roman" w:cs="Times New Roman"/>
          <w:sz w:val="20"/>
          <w:szCs w:val="20"/>
        </w:rPr>
        <w:t xml:space="preserve">As </w:t>
      </w:r>
      <w:proofErr w:type="gramStart"/>
      <w:r w:rsidRPr="00143932">
        <w:rPr>
          <w:rFonts w:ascii="Times New Roman" w:hAnsi="Times New Roman" w:cs="Times New Roman"/>
          <w:sz w:val="20"/>
          <w:szCs w:val="20"/>
        </w:rPr>
        <w:t>at</w:t>
      </w:r>
      <w:proofErr w:type="gramEnd"/>
      <w:r w:rsidRPr="00143932">
        <w:rPr>
          <w:rFonts w:ascii="Times New Roman" w:hAnsi="Times New Roman" w:cs="Times New Roman"/>
          <w:sz w:val="20"/>
          <w:szCs w:val="20"/>
        </w:rPr>
        <w:t xml:space="preserve"> June 30, 2021, the Company had cash of $5</w:t>
      </w:r>
      <w:r>
        <w:rPr>
          <w:rFonts w:ascii="Times New Roman" w:hAnsi="Times New Roman" w:cs="Times New Roman"/>
          <w:sz w:val="20"/>
          <w:szCs w:val="20"/>
        </w:rPr>
        <w:t>25,851</w:t>
      </w:r>
      <w:r w:rsidRPr="00143932">
        <w:rPr>
          <w:rFonts w:ascii="Times New Roman" w:hAnsi="Times New Roman" w:cs="Times New Roman"/>
          <w:sz w:val="20"/>
          <w:szCs w:val="20"/>
        </w:rPr>
        <w:t xml:space="preserve"> </w:t>
      </w:r>
      <w:r>
        <w:rPr>
          <w:rFonts w:ascii="Times New Roman" w:hAnsi="Times New Roman" w:cs="Times New Roman"/>
          <w:sz w:val="20"/>
          <w:szCs w:val="20"/>
        </w:rPr>
        <w:t xml:space="preserve">(2020 - $1,326,253) </w:t>
      </w:r>
      <w:r w:rsidRPr="00143932">
        <w:rPr>
          <w:rFonts w:ascii="Times New Roman" w:hAnsi="Times New Roman" w:cs="Times New Roman"/>
          <w:sz w:val="20"/>
          <w:szCs w:val="20"/>
        </w:rPr>
        <w:t xml:space="preserve">and a working capital </w:t>
      </w:r>
      <w:r>
        <w:rPr>
          <w:rFonts w:ascii="Times New Roman" w:hAnsi="Times New Roman" w:cs="Times New Roman"/>
          <w:sz w:val="20"/>
          <w:szCs w:val="20"/>
        </w:rPr>
        <w:t xml:space="preserve">deficit </w:t>
      </w:r>
      <w:r w:rsidRPr="00143932">
        <w:rPr>
          <w:rFonts w:ascii="Times New Roman" w:hAnsi="Times New Roman" w:cs="Times New Roman"/>
          <w:sz w:val="20"/>
          <w:szCs w:val="20"/>
        </w:rPr>
        <w:t>of $</w:t>
      </w:r>
      <w:r w:rsidR="00CA4529" w:rsidRPr="00A37F86">
        <w:rPr>
          <w:rFonts w:ascii="Times New Roman" w:hAnsi="Times New Roman" w:cs="Times New Roman"/>
          <w:sz w:val="20"/>
          <w:szCs w:val="20"/>
        </w:rPr>
        <w:t>3,</w:t>
      </w:r>
      <w:r w:rsidR="00CA4529">
        <w:rPr>
          <w:rFonts w:ascii="Times New Roman" w:hAnsi="Times New Roman" w:cs="Times New Roman"/>
          <w:sz w:val="20"/>
          <w:szCs w:val="20"/>
        </w:rPr>
        <w:t>283,943</w:t>
      </w:r>
      <w:r w:rsidR="00CA4529" w:rsidRPr="00A37F86">
        <w:rPr>
          <w:rFonts w:ascii="Times New Roman" w:hAnsi="Times New Roman" w:cs="Times New Roman"/>
          <w:sz w:val="20"/>
          <w:szCs w:val="20"/>
        </w:rPr>
        <w:t xml:space="preserve"> </w:t>
      </w:r>
      <w:r>
        <w:rPr>
          <w:rFonts w:ascii="Times New Roman" w:hAnsi="Times New Roman" w:cs="Times New Roman"/>
          <w:sz w:val="20"/>
          <w:szCs w:val="20"/>
        </w:rPr>
        <w:t>(2020 - $1,140,280)</w:t>
      </w:r>
      <w:r w:rsidRPr="00143932">
        <w:rPr>
          <w:rFonts w:ascii="Times New Roman" w:hAnsi="Times New Roman" w:cs="Times New Roman"/>
          <w:sz w:val="20"/>
          <w:szCs w:val="20"/>
        </w:rPr>
        <w:t>. A summary of the Company’s cash flow is as follows:</w:t>
      </w:r>
    </w:p>
    <w:p w14:paraId="56B20F22" w14:textId="77777777" w:rsidR="00BF1655" w:rsidRPr="003B5DED" w:rsidRDefault="00BF1655" w:rsidP="006D7D04">
      <w:pPr>
        <w:spacing w:after="0" w:line="240" w:lineRule="auto"/>
        <w:jc w:val="both"/>
        <w:rPr>
          <w:rFonts w:ascii="Times New Roman" w:hAnsi="Times New Roman" w:cs="Times New Roman"/>
          <w:sz w:val="20"/>
          <w:szCs w:val="20"/>
          <w:highlight w:val="yellow"/>
        </w:rPr>
      </w:pPr>
    </w:p>
    <w:tbl>
      <w:tblPr>
        <w:tblW w:w="9214" w:type="dxa"/>
        <w:jc w:val="center"/>
        <w:tblLayout w:type="fixed"/>
        <w:tblLook w:val="00A0" w:firstRow="1" w:lastRow="0" w:firstColumn="1" w:lastColumn="0" w:noHBand="0" w:noVBand="0"/>
      </w:tblPr>
      <w:tblGrid>
        <w:gridCol w:w="5671"/>
        <w:gridCol w:w="1771"/>
        <w:gridCol w:w="1772"/>
      </w:tblGrid>
      <w:tr w:rsidR="006D7D04" w:rsidRPr="00A42072" w14:paraId="72AD5F5B" w14:textId="77777777" w:rsidTr="00C42020">
        <w:trPr>
          <w:trHeight w:hRule="exact" w:val="238"/>
          <w:jc w:val="center"/>
        </w:trPr>
        <w:tc>
          <w:tcPr>
            <w:tcW w:w="5671" w:type="dxa"/>
            <w:tcBorders>
              <w:top w:val="double" w:sz="4" w:space="0" w:color="auto"/>
            </w:tcBorders>
            <w:shd w:val="clear" w:color="auto" w:fill="auto"/>
            <w:vAlign w:val="center"/>
          </w:tcPr>
          <w:p w14:paraId="5639E62F" w14:textId="77777777" w:rsidR="006D7D04" w:rsidRPr="00A42072" w:rsidRDefault="006D7D04" w:rsidP="00C42020">
            <w:pPr>
              <w:spacing w:after="0" w:line="240" w:lineRule="auto"/>
              <w:jc w:val="both"/>
              <w:rPr>
                <w:rFonts w:ascii="Times New Roman" w:hAnsi="Times New Roman" w:cs="Times New Roman"/>
                <w:bCs/>
                <w:sz w:val="20"/>
                <w:szCs w:val="20"/>
              </w:rPr>
            </w:pPr>
          </w:p>
        </w:tc>
        <w:tc>
          <w:tcPr>
            <w:tcW w:w="3543" w:type="dxa"/>
            <w:gridSpan w:val="2"/>
            <w:tcBorders>
              <w:top w:val="double" w:sz="4" w:space="0" w:color="auto"/>
            </w:tcBorders>
            <w:shd w:val="clear" w:color="auto" w:fill="auto"/>
            <w:vAlign w:val="center"/>
          </w:tcPr>
          <w:p w14:paraId="06407AA2" w14:textId="4A0775F4" w:rsidR="006D7D04" w:rsidRPr="00A42072" w:rsidRDefault="006A4DDD" w:rsidP="004F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Six months</w:t>
            </w:r>
            <w:r w:rsidR="006D7D04" w:rsidRPr="00A42072">
              <w:rPr>
                <w:rFonts w:ascii="Times New Roman" w:hAnsi="Times New Roman" w:cs="Times New Roman"/>
                <w:b/>
                <w:sz w:val="20"/>
                <w:szCs w:val="20"/>
              </w:rPr>
              <w:t xml:space="preserve"> ended </w:t>
            </w:r>
            <w:r>
              <w:rPr>
                <w:rFonts w:ascii="Times New Roman" w:hAnsi="Times New Roman" w:cs="Times New Roman"/>
                <w:b/>
                <w:sz w:val="20"/>
                <w:szCs w:val="20"/>
              </w:rPr>
              <w:t>June 30</w:t>
            </w:r>
            <w:r w:rsidR="006D7D04" w:rsidRPr="00A42072">
              <w:rPr>
                <w:rFonts w:ascii="Times New Roman" w:hAnsi="Times New Roman" w:cs="Times New Roman"/>
                <w:b/>
                <w:sz w:val="20"/>
                <w:szCs w:val="20"/>
              </w:rPr>
              <w:t>,</w:t>
            </w:r>
          </w:p>
        </w:tc>
      </w:tr>
      <w:tr w:rsidR="004F1B96" w:rsidRPr="00A42072" w14:paraId="219B2964" w14:textId="77777777" w:rsidTr="00C42020">
        <w:trPr>
          <w:trHeight w:hRule="exact" w:val="238"/>
          <w:jc w:val="center"/>
        </w:trPr>
        <w:tc>
          <w:tcPr>
            <w:tcW w:w="5671" w:type="dxa"/>
            <w:tcBorders>
              <w:bottom w:val="single" w:sz="4" w:space="0" w:color="auto"/>
            </w:tcBorders>
            <w:shd w:val="clear" w:color="auto" w:fill="auto"/>
            <w:vAlign w:val="center"/>
          </w:tcPr>
          <w:p w14:paraId="00302358" w14:textId="77777777" w:rsidR="004F1B96" w:rsidRPr="00A42072" w:rsidRDefault="004F1B96" w:rsidP="004F1B96">
            <w:pPr>
              <w:spacing w:after="0" w:line="240" w:lineRule="auto"/>
              <w:jc w:val="both"/>
              <w:rPr>
                <w:rFonts w:ascii="Times New Roman" w:hAnsi="Times New Roman" w:cs="Times New Roman"/>
                <w:bCs/>
                <w:sz w:val="20"/>
                <w:szCs w:val="20"/>
              </w:rPr>
            </w:pPr>
          </w:p>
        </w:tc>
        <w:tc>
          <w:tcPr>
            <w:tcW w:w="1771" w:type="dxa"/>
            <w:tcBorders>
              <w:bottom w:val="single" w:sz="4" w:space="0" w:color="auto"/>
            </w:tcBorders>
            <w:shd w:val="clear" w:color="auto" w:fill="auto"/>
            <w:vAlign w:val="center"/>
          </w:tcPr>
          <w:p w14:paraId="51C88F0E" w14:textId="607CCF38" w:rsidR="004F1B96" w:rsidRPr="005C4893" w:rsidRDefault="004F1B96" w:rsidP="004F1B96">
            <w:pPr>
              <w:spacing w:after="0" w:line="240" w:lineRule="auto"/>
              <w:jc w:val="right"/>
              <w:rPr>
                <w:rFonts w:ascii="Times New Roman" w:hAnsi="Times New Roman" w:cs="Times New Roman"/>
                <w:b/>
                <w:sz w:val="20"/>
                <w:szCs w:val="20"/>
              </w:rPr>
            </w:pPr>
            <w:r w:rsidRPr="005C4893">
              <w:rPr>
                <w:rFonts w:ascii="Times New Roman" w:hAnsi="Times New Roman" w:cs="Times New Roman"/>
                <w:b/>
                <w:sz w:val="20"/>
                <w:szCs w:val="20"/>
              </w:rPr>
              <w:t>2021</w:t>
            </w:r>
          </w:p>
        </w:tc>
        <w:tc>
          <w:tcPr>
            <w:tcW w:w="1772" w:type="dxa"/>
            <w:tcBorders>
              <w:bottom w:val="single" w:sz="4" w:space="0" w:color="auto"/>
            </w:tcBorders>
            <w:shd w:val="clear" w:color="auto" w:fill="auto"/>
            <w:vAlign w:val="center"/>
          </w:tcPr>
          <w:p w14:paraId="1624ECBF" w14:textId="302D6C97" w:rsidR="004F1B96" w:rsidRPr="00A42072" w:rsidRDefault="004F1B96" w:rsidP="004F1B96">
            <w:pPr>
              <w:spacing w:after="0" w:line="240" w:lineRule="auto"/>
              <w:jc w:val="right"/>
              <w:rPr>
                <w:rFonts w:ascii="Times New Roman" w:hAnsi="Times New Roman" w:cs="Times New Roman"/>
                <w:b/>
                <w:sz w:val="20"/>
                <w:szCs w:val="20"/>
              </w:rPr>
            </w:pPr>
            <w:r w:rsidRPr="00CB6610">
              <w:rPr>
                <w:rFonts w:ascii="Times New Roman" w:hAnsi="Times New Roman" w:cs="Times New Roman"/>
                <w:b/>
                <w:sz w:val="20"/>
                <w:szCs w:val="20"/>
              </w:rPr>
              <w:t>20</w:t>
            </w:r>
            <w:r>
              <w:rPr>
                <w:rFonts w:ascii="Times New Roman" w:hAnsi="Times New Roman" w:cs="Times New Roman"/>
                <w:b/>
                <w:sz w:val="20"/>
                <w:szCs w:val="20"/>
              </w:rPr>
              <w:t>20</w:t>
            </w:r>
          </w:p>
        </w:tc>
      </w:tr>
      <w:tr w:rsidR="004F1B96" w:rsidRPr="00A42072" w14:paraId="1F702CC0" w14:textId="77777777" w:rsidTr="00C42020">
        <w:trPr>
          <w:trHeight w:hRule="exact" w:val="238"/>
          <w:jc w:val="center"/>
        </w:trPr>
        <w:tc>
          <w:tcPr>
            <w:tcW w:w="5671" w:type="dxa"/>
            <w:tcBorders>
              <w:top w:val="single" w:sz="4" w:space="0" w:color="auto"/>
            </w:tcBorders>
            <w:shd w:val="clear" w:color="auto" w:fill="auto"/>
            <w:vAlign w:val="center"/>
          </w:tcPr>
          <w:p w14:paraId="588F982D"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 xml:space="preserve">Cash outflow </w:t>
            </w:r>
            <w:r>
              <w:rPr>
                <w:rFonts w:ascii="Times New Roman" w:hAnsi="Times New Roman" w:cs="Times New Roman"/>
                <w:bCs/>
                <w:sz w:val="20"/>
                <w:szCs w:val="20"/>
              </w:rPr>
              <w:t>used in</w:t>
            </w:r>
            <w:r w:rsidRPr="00A42072">
              <w:rPr>
                <w:rFonts w:ascii="Times New Roman" w:hAnsi="Times New Roman" w:cs="Times New Roman"/>
                <w:bCs/>
                <w:sz w:val="20"/>
                <w:szCs w:val="20"/>
              </w:rPr>
              <w:t xml:space="preserve"> operating activities</w:t>
            </w:r>
          </w:p>
        </w:tc>
        <w:tc>
          <w:tcPr>
            <w:tcW w:w="1771" w:type="dxa"/>
            <w:tcBorders>
              <w:top w:val="single" w:sz="4" w:space="0" w:color="auto"/>
            </w:tcBorders>
            <w:shd w:val="clear" w:color="auto" w:fill="auto"/>
            <w:vAlign w:val="center"/>
          </w:tcPr>
          <w:p w14:paraId="17CDCEB1" w14:textId="0EA0ED3F" w:rsidR="004F1B96" w:rsidRPr="00476289" w:rsidRDefault="004F1B96" w:rsidP="004F1B96">
            <w:pPr>
              <w:tabs>
                <w:tab w:val="left" w:pos="0"/>
                <w:tab w:val="decimal" w:pos="1435"/>
              </w:tabs>
              <w:spacing w:after="0" w:line="240" w:lineRule="auto"/>
              <w:rPr>
                <w:rFonts w:ascii="Times New Roman" w:hAnsi="Times New Roman" w:cs="Times New Roman"/>
                <w:sz w:val="20"/>
                <w:szCs w:val="20"/>
              </w:rPr>
            </w:pPr>
            <w:r w:rsidRPr="00476289">
              <w:rPr>
                <w:rFonts w:ascii="Times New Roman" w:hAnsi="Times New Roman" w:cs="Times New Roman"/>
                <w:sz w:val="20"/>
                <w:szCs w:val="20"/>
              </w:rPr>
              <w:t>$</w:t>
            </w:r>
            <w:r w:rsidRPr="00476289">
              <w:rPr>
                <w:rFonts w:ascii="Times New Roman" w:hAnsi="Times New Roman" w:cs="Times New Roman"/>
                <w:sz w:val="20"/>
                <w:szCs w:val="20"/>
              </w:rPr>
              <w:tab/>
              <w:t>(</w:t>
            </w:r>
            <w:r w:rsidR="005A1807" w:rsidRPr="005A1807">
              <w:rPr>
                <w:rFonts w:ascii="Times New Roman" w:hAnsi="Times New Roman" w:cs="Times New Roman"/>
                <w:sz w:val="20"/>
                <w:szCs w:val="20"/>
              </w:rPr>
              <w:t>1,</w:t>
            </w:r>
            <w:r w:rsidR="00CA4529">
              <w:rPr>
                <w:rFonts w:ascii="Times New Roman" w:hAnsi="Times New Roman" w:cs="Times New Roman"/>
                <w:sz w:val="20"/>
                <w:szCs w:val="20"/>
              </w:rPr>
              <w:t>5</w:t>
            </w:r>
            <w:r w:rsidR="005A1807" w:rsidRPr="005A1807">
              <w:rPr>
                <w:rFonts w:ascii="Times New Roman" w:hAnsi="Times New Roman" w:cs="Times New Roman"/>
                <w:sz w:val="20"/>
                <w:szCs w:val="20"/>
              </w:rPr>
              <w:t>92,849</w:t>
            </w:r>
            <w:r w:rsidRPr="00476289">
              <w:rPr>
                <w:rFonts w:ascii="Times New Roman" w:hAnsi="Times New Roman" w:cs="Times New Roman"/>
                <w:sz w:val="20"/>
                <w:szCs w:val="20"/>
              </w:rPr>
              <w:t>)</w:t>
            </w:r>
          </w:p>
        </w:tc>
        <w:tc>
          <w:tcPr>
            <w:tcW w:w="1772" w:type="dxa"/>
            <w:tcBorders>
              <w:top w:val="single" w:sz="4" w:space="0" w:color="auto"/>
            </w:tcBorders>
            <w:shd w:val="clear" w:color="auto" w:fill="auto"/>
            <w:vAlign w:val="center"/>
          </w:tcPr>
          <w:p w14:paraId="4D7F15B2" w14:textId="7DA922F3" w:rsidR="004F1B96" w:rsidRPr="00A42072" w:rsidRDefault="004F1B96" w:rsidP="004F1B96">
            <w:pPr>
              <w:tabs>
                <w:tab w:val="left" w:pos="0"/>
                <w:tab w:val="decimal" w:pos="1435"/>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w:t>
            </w:r>
            <w:r w:rsidRPr="002C0825">
              <w:rPr>
                <w:rFonts w:ascii="Times New Roman" w:hAnsi="Times New Roman" w:cs="Times New Roman"/>
                <w:sz w:val="20"/>
                <w:szCs w:val="20"/>
              </w:rPr>
              <w:tab/>
              <w:t>(</w:t>
            </w:r>
            <w:r w:rsidR="003966FE">
              <w:rPr>
                <w:rFonts w:ascii="Times New Roman" w:hAnsi="Times New Roman" w:cs="Times New Roman"/>
                <w:sz w:val="20"/>
                <w:szCs w:val="20"/>
              </w:rPr>
              <w:t>884,970</w:t>
            </w:r>
            <w:r w:rsidRPr="002C0825">
              <w:rPr>
                <w:rFonts w:ascii="Times New Roman" w:hAnsi="Times New Roman" w:cs="Times New Roman"/>
                <w:sz w:val="20"/>
                <w:szCs w:val="20"/>
              </w:rPr>
              <w:t>)</w:t>
            </w:r>
          </w:p>
        </w:tc>
      </w:tr>
      <w:tr w:rsidR="004F1B96" w:rsidRPr="00A42072" w14:paraId="036459FF" w14:textId="77777777" w:rsidTr="00C42020">
        <w:trPr>
          <w:trHeight w:hRule="exact" w:val="238"/>
          <w:jc w:val="center"/>
        </w:trPr>
        <w:tc>
          <w:tcPr>
            <w:tcW w:w="5671" w:type="dxa"/>
            <w:shd w:val="clear" w:color="auto" w:fill="auto"/>
            <w:vAlign w:val="center"/>
          </w:tcPr>
          <w:p w14:paraId="2D71887C"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 xml:space="preserve">Cash outflow </w:t>
            </w:r>
            <w:r>
              <w:rPr>
                <w:rFonts w:ascii="Times New Roman" w:hAnsi="Times New Roman" w:cs="Times New Roman"/>
                <w:bCs/>
                <w:sz w:val="20"/>
                <w:szCs w:val="20"/>
              </w:rPr>
              <w:t>used in</w:t>
            </w:r>
            <w:r w:rsidRPr="00A42072">
              <w:rPr>
                <w:rFonts w:ascii="Times New Roman" w:hAnsi="Times New Roman" w:cs="Times New Roman"/>
                <w:bCs/>
                <w:sz w:val="20"/>
                <w:szCs w:val="20"/>
              </w:rPr>
              <w:t xml:space="preserve"> investing activities</w:t>
            </w:r>
          </w:p>
        </w:tc>
        <w:tc>
          <w:tcPr>
            <w:tcW w:w="1771" w:type="dxa"/>
            <w:shd w:val="clear" w:color="auto" w:fill="auto"/>
            <w:vAlign w:val="center"/>
          </w:tcPr>
          <w:p w14:paraId="778DC281" w14:textId="567BEDFB" w:rsidR="004F1B96" w:rsidRPr="00476289" w:rsidRDefault="005A1807" w:rsidP="004F1B96">
            <w:pPr>
              <w:tabs>
                <w:tab w:val="decimal" w:pos="1435"/>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5A1807">
              <w:rPr>
                <w:rFonts w:ascii="Times New Roman" w:hAnsi="Times New Roman" w:cs="Times New Roman"/>
                <w:sz w:val="20"/>
                <w:szCs w:val="20"/>
              </w:rPr>
              <w:t>1,443,439</w:t>
            </w:r>
            <w:r>
              <w:rPr>
                <w:rFonts w:ascii="Times New Roman" w:hAnsi="Times New Roman" w:cs="Times New Roman"/>
                <w:sz w:val="20"/>
                <w:szCs w:val="20"/>
              </w:rPr>
              <w:t>)</w:t>
            </w:r>
          </w:p>
        </w:tc>
        <w:tc>
          <w:tcPr>
            <w:tcW w:w="1772" w:type="dxa"/>
            <w:shd w:val="clear" w:color="auto" w:fill="auto"/>
            <w:vAlign w:val="center"/>
          </w:tcPr>
          <w:p w14:paraId="146BB751" w14:textId="5990E865" w:rsidR="004F1B96" w:rsidRPr="00A42072" w:rsidRDefault="004F1B96" w:rsidP="004F1B96">
            <w:pPr>
              <w:tabs>
                <w:tab w:val="decimal" w:pos="1381"/>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(4,135)</w:t>
            </w:r>
          </w:p>
        </w:tc>
      </w:tr>
      <w:tr w:rsidR="004F1B96" w:rsidRPr="00A42072" w14:paraId="6669F923" w14:textId="77777777" w:rsidTr="00C42020">
        <w:trPr>
          <w:trHeight w:hRule="exact" w:val="238"/>
          <w:jc w:val="center"/>
        </w:trPr>
        <w:tc>
          <w:tcPr>
            <w:tcW w:w="5671" w:type="dxa"/>
            <w:tcBorders>
              <w:bottom w:val="single" w:sz="4" w:space="0" w:color="auto"/>
            </w:tcBorders>
            <w:vAlign w:val="center"/>
          </w:tcPr>
          <w:p w14:paraId="3BDD4EA0"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Cash inflow from financing activities</w:t>
            </w:r>
          </w:p>
        </w:tc>
        <w:tc>
          <w:tcPr>
            <w:tcW w:w="1771" w:type="dxa"/>
            <w:tcBorders>
              <w:bottom w:val="single" w:sz="4" w:space="0" w:color="auto"/>
            </w:tcBorders>
            <w:shd w:val="clear" w:color="auto" w:fill="auto"/>
            <w:vAlign w:val="center"/>
          </w:tcPr>
          <w:p w14:paraId="341E1270" w14:textId="4EBA539E" w:rsidR="004F1B96" w:rsidRPr="00476289" w:rsidRDefault="005A1807" w:rsidP="004F1B96">
            <w:pPr>
              <w:tabs>
                <w:tab w:val="decimal" w:pos="1435"/>
              </w:tabs>
              <w:spacing w:after="0" w:line="240" w:lineRule="auto"/>
              <w:rPr>
                <w:rFonts w:ascii="Times New Roman" w:hAnsi="Times New Roman" w:cs="Times New Roman"/>
                <w:sz w:val="20"/>
                <w:szCs w:val="20"/>
              </w:rPr>
            </w:pPr>
            <w:r w:rsidRPr="005A1807">
              <w:rPr>
                <w:rFonts w:ascii="Times New Roman" w:hAnsi="Times New Roman" w:cs="Times New Roman"/>
                <w:sz w:val="20"/>
                <w:szCs w:val="20"/>
              </w:rPr>
              <w:t>2,</w:t>
            </w:r>
            <w:r w:rsidR="00CA4529">
              <w:rPr>
                <w:rFonts w:ascii="Times New Roman" w:hAnsi="Times New Roman" w:cs="Times New Roman"/>
                <w:sz w:val="20"/>
                <w:szCs w:val="20"/>
              </w:rPr>
              <w:t>2</w:t>
            </w:r>
            <w:r w:rsidRPr="005A1807">
              <w:rPr>
                <w:rFonts w:ascii="Times New Roman" w:hAnsi="Times New Roman" w:cs="Times New Roman"/>
                <w:sz w:val="20"/>
                <w:szCs w:val="20"/>
              </w:rPr>
              <w:t>35,886</w:t>
            </w:r>
          </w:p>
        </w:tc>
        <w:tc>
          <w:tcPr>
            <w:tcW w:w="1772" w:type="dxa"/>
            <w:tcBorders>
              <w:bottom w:val="single" w:sz="4" w:space="0" w:color="auto"/>
            </w:tcBorders>
            <w:shd w:val="clear" w:color="auto" w:fill="auto"/>
            <w:vAlign w:val="center"/>
          </w:tcPr>
          <w:p w14:paraId="00B62304" w14:textId="34B2F32E" w:rsidR="004F1B96" w:rsidRPr="00A42072" w:rsidRDefault="004F1B96" w:rsidP="004F1B96">
            <w:pPr>
              <w:tabs>
                <w:tab w:val="decimal" w:pos="1435"/>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4</w:t>
            </w:r>
            <w:r w:rsidR="003966FE">
              <w:rPr>
                <w:rFonts w:ascii="Times New Roman" w:hAnsi="Times New Roman" w:cs="Times New Roman"/>
                <w:sz w:val="20"/>
                <w:szCs w:val="20"/>
              </w:rPr>
              <w:t>11,451</w:t>
            </w:r>
          </w:p>
        </w:tc>
      </w:tr>
      <w:tr w:rsidR="004F1B96" w:rsidRPr="00A42072" w14:paraId="56D26A23" w14:textId="77777777" w:rsidTr="00C42020">
        <w:trPr>
          <w:trHeight w:hRule="exact" w:val="238"/>
          <w:jc w:val="center"/>
        </w:trPr>
        <w:tc>
          <w:tcPr>
            <w:tcW w:w="5671" w:type="dxa"/>
            <w:tcBorders>
              <w:top w:val="single" w:sz="4" w:space="0" w:color="auto"/>
            </w:tcBorders>
            <w:vAlign w:val="center"/>
          </w:tcPr>
          <w:p w14:paraId="0A87A5C3"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Net change in cash</w:t>
            </w:r>
          </w:p>
        </w:tc>
        <w:tc>
          <w:tcPr>
            <w:tcW w:w="1771" w:type="dxa"/>
            <w:tcBorders>
              <w:top w:val="single" w:sz="4" w:space="0" w:color="auto"/>
            </w:tcBorders>
            <w:shd w:val="clear" w:color="auto" w:fill="auto"/>
            <w:vAlign w:val="center"/>
          </w:tcPr>
          <w:p w14:paraId="10EED3F4" w14:textId="1F9B5394" w:rsidR="004F1B96" w:rsidRPr="00476289" w:rsidRDefault="00476289" w:rsidP="00476289">
            <w:pPr>
              <w:tabs>
                <w:tab w:val="decimal" w:pos="1435"/>
              </w:tabs>
              <w:spacing w:after="0" w:line="240" w:lineRule="auto"/>
              <w:rPr>
                <w:rFonts w:ascii="Times New Roman" w:hAnsi="Times New Roman" w:cs="Times New Roman"/>
                <w:sz w:val="20"/>
                <w:szCs w:val="20"/>
              </w:rPr>
            </w:pPr>
            <w:r w:rsidRPr="00476289">
              <w:rPr>
                <w:rFonts w:ascii="Times New Roman" w:hAnsi="Times New Roman" w:cs="Times New Roman"/>
                <w:sz w:val="20"/>
                <w:szCs w:val="20"/>
              </w:rPr>
              <w:t>(800,402)</w:t>
            </w:r>
          </w:p>
        </w:tc>
        <w:tc>
          <w:tcPr>
            <w:tcW w:w="1772" w:type="dxa"/>
            <w:tcBorders>
              <w:top w:val="single" w:sz="4" w:space="0" w:color="auto"/>
            </w:tcBorders>
            <w:shd w:val="clear" w:color="auto" w:fill="auto"/>
            <w:vAlign w:val="center"/>
          </w:tcPr>
          <w:p w14:paraId="3545EE44" w14:textId="69E71AFE" w:rsidR="004F1B96" w:rsidRPr="00A42072" w:rsidRDefault="004F1B96" w:rsidP="004F1B96">
            <w:pPr>
              <w:tabs>
                <w:tab w:val="decimal" w:pos="1435"/>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(4</w:t>
            </w:r>
            <w:r w:rsidR="003966FE">
              <w:rPr>
                <w:rFonts w:ascii="Times New Roman" w:hAnsi="Times New Roman" w:cs="Times New Roman"/>
                <w:sz w:val="20"/>
                <w:szCs w:val="20"/>
              </w:rPr>
              <w:t>77,654</w:t>
            </w:r>
            <w:r w:rsidRPr="002C0825">
              <w:rPr>
                <w:rFonts w:ascii="Times New Roman" w:hAnsi="Times New Roman" w:cs="Times New Roman"/>
                <w:sz w:val="20"/>
                <w:szCs w:val="20"/>
              </w:rPr>
              <w:t>)</w:t>
            </w:r>
          </w:p>
        </w:tc>
      </w:tr>
      <w:tr w:rsidR="004F1B96" w:rsidRPr="00A42072" w14:paraId="54EBA1D9" w14:textId="77777777" w:rsidTr="00C42020">
        <w:trPr>
          <w:trHeight w:hRule="exact" w:val="238"/>
          <w:jc w:val="center"/>
        </w:trPr>
        <w:tc>
          <w:tcPr>
            <w:tcW w:w="5671" w:type="dxa"/>
            <w:tcBorders>
              <w:bottom w:val="single" w:sz="4" w:space="0" w:color="auto"/>
            </w:tcBorders>
            <w:vAlign w:val="center"/>
          </w:tcPr>
          <w:p w14:paraId="613EACD6"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Opening balance, cash</w:t>
            </w:r>
          </w:p>
        </w:tc>
        <w:tc>
          <w:tcPr>
            <w:tcW w:w="1771" w:type="dxa"/>
            <w:tcBorders>
              <w:bottom w:val="single" w:sz="4" w:space="0" w:color="auto"/>
            </w:tcBorders>
            <w:shd w:val="clear" w:color="auto" w:fill="auto"/>
            <w:vAlign w:val="center"/>
          </w:tcPr>
          <w:p w14:paraId="3C796BB4" w14:textId="234693A4" w:rsidR="004F1B96" w:rsidRPr="00476289" w:rsidRDefault="005C4893" w:rsidP="004F1B96">
            <w:pPr>
              <w:tabs>
                <w:tab w:val="decimal" w:pos="1435"/>
              </w:tabs>
              <w:spacing w:after="0" w:line="240" w:lineRule="auto"/>
              <w:rPr>
                <w:rFonts w:ascii="Times New Roman" w:hAnsi="Times New Roman" w:cs="Times New Roman"/>
                <w:sz w:val="20"/>
                <w:szCs w:val="20"/>
              </w:rPr>
            </w:pPr>
            <w:r w:rsidRPr="00476289">
              <w:rPr>
                <w:rFonts w:ascii="Times New Roman" w:hAnsi="Times New Roman" w:cs="Times New Roman"/>
                <w:sz w:val="20"/>
                <w:szCs w:val="20"/>
              </w:rPr>
              <w:t>1,326,253</w:t>
            </w:r>
          </w:p>
        </w:tc>
        <w:tc>
          <w:tcPr>
            <w:tcW w:w="1772" w:type="dxa"/>
            <w:tcBorders>
              <w:bottom w:val="single" w:sz="4" w:space="0" w:color="auto"/>
            </w:tcBorders>
            <w:shd w:val="clear" w:color="auto" w:fill="auto"/>
            <w:vAlign w:val="center"/>
          </w:tcPr>
          <w:p w14:paraId="1925A9B1" w14:textId="63BAECDD" w:rsidR="004F1B96" w:rsidRPr="00A42072" w:rsidRDefault="004F1B96" w:rsidP="004F1B96">
            <w:pPr>
              <w:tabs>
                <w:tab w:val="decimal" w:pos="1435"/>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7</w:t>
            </w:r>
            <w:r w:rsidR="003966FE">
              <w:rPr>
                <w:rFonts w:ascii="Times New Roman" w:hAnsi="Times New Roman" w:cs="Times New Roman"/>
                <w:sz w:val="20"/>
                <w:szCs w:val="20"/>
              </w:rPr>
              <w:t>55,262</w:t>
            </w:r>
          </w:p>
        </w:tc>
      </w:tr>
      <w:tr w:rsidR="004F1B96" w:rsidRPr="00A42072" w14:paraId="35BB3E1C" w14:textId="77777777" w:rsidTr="00C42020">
        <w:trPr>
          <w:trHeight w:hRule="exact" w:val="238"/>
          <w:jc w:val="center"/>
        </w:trPr>
        <w:tc>
          <w:tcPr>
            <w:tcW w:w="5671" w:type="dxa"/>
            <w:tcBorders>
              <w:top w:val="single" w:sz="4" w:space="0" w:color="auto"/>
              <w:bottom w:val="double" w:sz="4" w:space="0" w:color="auto"/>
            </w:tcBorders>
            <w:vAlign w:val="center"/>
          </w:tcPr>
          <w:p w14:paraId="6EACE4A9" w14:textId="77777777" w:rsidR="004F1B96" w:rsidRPr="00A42072" w:rsidRDefault="004F1B96" w:rsidP="004F1B96">
            <w:pPr>
              <w:spacing w:after="0" w:line="240" w:lineRule="auto"/>
              <w:jc w:val="both"/>
              <w:rPr>
                <w:rFonts w:ascii="Times New Roman" w:hAnsi="Times New Roman" w:cs="Times New Roman"/>
                <w:bCs/>
                <w:sz w:val="20"/>
                <w:szCs w:val="20"/>
              </w:rPr>
            </w:pPr>
            <w:r w:rsidRPr="00A42072">
              <w:rPr>
                <w:rFonts w:ascii="Times New Roman" w:hAnsi="Times New Roman" w:cs="Times New Roman"/>
                <w:bCs/>
                <w:sz w:val="20"/>
                <w:szCs w:val="20"/>
              </w:rPr>
              <w:t>Closing balance, cash</w:t>
            </w:r>
          </w:p>
        </w:tc>
        <w:tc>
          <w:tcPr>
            <w:tcW w:w="1771" w:type="dxa"/>
            <w:tcBorders>
              <w:top w:val="single" w:sz="4" w:space="0" w:color="auto"/>
              <w:bottom w:val="double" w:sz="4" w:space="0" w:color="auto"/>
            </w:tcBorders>
            <w:shd w:val="clear" w:color="auto" w:fill="auto"/>
            <w:vAlign w:val="center"/>
          </w:tcPr>
          <w:p w14:paraId="79CD17A2" w14:textId="710DB1C4" w:rsidR="004F1B96" w:rsidRPr="00476289" w:rsidRDefault="004F1B96" w:rsidP="004F1B96">
            <w:pPr>
              <w:tabs>
                <w:tab w:val="left" w:pos="0"/>
                <w:tab w:val="decimal" w:pos="1435"/>
              </w:tabs>
              <w:spacing w:after="0" w:line="240" w:lineRule="auto"/>
              <w:rPr>
                <w:rFonts w:ascii="Times New Roman" w:hAnsi="Times New Roman" w:cs="Times New Roman"/>
                <w:sz w:val="20"/>
                <w:szCs w:val="20"/>
              </w:rPr>
            </w:pPr>
            <w:r w:rsidRPr="00476289">
              <w:rPr>
                <w:rFonts w:ascii="Times New Roman" w:hAnsi="Times New Roman" w:cs="Times New Roman"/>
                <w:sz w:val="20"/>
                <w:szCs w:val="20"/>
              </w:rPr>
              <w:t>$</w:t>
            </w:r>
            <w:r w:rsidRPr="00476289">
              <w:rPr>
                <w:rFonts w:ascii="Times New Roman" w:hAnsi="Times New Roman" w:cs="Times New Roman"/>
                <w:sz w:val="20"/>
                <w:szCs w:val="20"/>
              </w:rPr>
              <w:tab/>
            </w:r>
            <w:r w:rsidR="00476289" w:rsidRPr="00476289">
              <w:rPr>
                <w:rFonts w:ascii="Times New Roman" w:hAnsi="Times New Roman" w:cs="Times New Roman"/>
                <w:sz w:val="20"/>
                <w:szCs w:val="20"/>
              </w:rPr>
              <w:t>525,851</w:t>
            </w:r>
          </w:p>
        </w:tc>
        <w:tc>
          <w:tcPr>
            <w:tcW w:w="1772" w:type="dxa"/>
            <w:tcBorders>
              <w:top w:val="single" w:sz="4" w:space="0" w:color="auto"/>
              <w:bottom w:val="double" w:sz="4" w:space="0" w:color="auto"/>
            </w:tcBorders>
            <w:shd w:val="clear" w:color="auto" w:fill="auto"/>
            <w:vAlign w:val="center"/>
          </w:tcPr>
          <w:p w14:paraId="4C10A5F3" w14:textId="5583F75F" w:rsidR="004F1B96" w:rsidRPr="00A42072" w:rsidRDefault="004F1B96" w:rsidP="004F1B96">
            <w:pPr>
              <w:tabs>
                <w:tab w:val="left" w:pos="0"/>
                <w:tab w:val="decimal" w:pos="1435"/>
              </w:tabs>
              <w:spacing w:after="0" w:line="240" w:lineRule="auto"/>
              <w:rPr>
                <w:rFonts w:ascii="Times New Roman" w:hAnsi="Times New Roman" w:cs="Times New Roman"/>
                <w:sz w:val="20"/>
                <w:szCs w:val="20"/>
              </w:rPr>
            </w:pPr>
            <w:r w:rsidRPr="002C0825">
              <w:rPr>
                <w:rFonts w:ascii="Times New Roman" w:hAnsi="Times New Roman" w:cs="Times New Roman"/>
                <w:sz w:val="20"/>
                <w:szCs w:val="20"/>
              </w:rPr>
              <w:t>$</w:t>
            </w:r>
            <w:r w:rsidRPr="002C0825">
              <w:rPr>
                <w:rFonts w:ascii="Times New Roman" w:hAnsi="Times New Roman" w:cs="Times New Roman"/>
                <w:sz w:val="20"/>
                <w:szCs w:val="20"/>
              </w:rPr>
              <w:tab/>
            </w:r>
            <w:r w:rsidR="003966FE">
              <w:rPr>
                <w:rFonts w:ascii="Times New Roman" w:hAnsi="Times New Roman" w:cs="Times New Roman"/>
                <w:sz w:val="20"/>
                <w:szCs w:val="20"/>
              </w:rPr>
              <w:t>277,608</w:t>
            </w:r>
          </w:p>
        </w:tc>
      </w:tr>
    </w:tbl>
    <w:p w14:paraId="755A357F" w14:textId="77777777" w:rsidR="004F1B96" w:rsidRPr="004F1B96" w:rsidRDefault="004F1B96" w:rsidP="004F1B96">
      <w:pPr>
        <w:spacing w:after="0" w:line="240" w:lineRule="auto"/>
        <w:jc w:val="both"/>
        <w:rPr>
          <w:rFonts w:ascii="Times New Roman" w:hAnsi="Times New Roman" w:cs="Times New Roman"/>
          <w:sz w:val="20"/>
          <w:szCs w:val="20"/>
          <w:highlight w:val="yellow"/>
        </w:rPr>
      </w:pPr>
    </w:p>
    <w:p w14:paraId="6B4A820D" w14:textId="3DD32EED" w:rsidR="006D7D04" w:rsidRPr="00A42072" w:rsidRDefault="006D7D04" w:rsidP="006D7D04">
      <w:pPr>
        <w:rPr>
          <w:rFonts w:ascii="Times New Roman" w:hAnsi="Times New Roman" w:cs="Times New Roman"/>
          <w:sz w:val="20"/>
          <w:szCs w:val="20"/>
        </w:rPr>
      </w:pPr>
      <w:r w:rsidRPr="00A42072">
        <w:rPr>
          <w:rFonts w:ascii="Times New Roman" w:hAnsi="Times New Roman" w:cs="Times New Roman"/>
          <w:i/>
          <w:iCs/>
          <w:sz w:val="20"/>
          <w:szCs w:val="20"/>
        </w:rPr>
        <w:t>Operating Activities</w:t>
      </w:r>
    </w:p>
    <w:p w14:paraId="246C0A4F" w14:textId="5D26A40C" w:rsidR="006D7D04" w:rsidRPr="00152D99" w:rsidRDefault="006D7D04" w:rsidP="006D7D04">
      <w:pPr>
        <w:spacing w:after="0" w:line="240" w:lineRule="auto"/>
        <w:jc w:val="both"/>
        <w:rPr>
          <w:rFonts w:ascii="Times New Roman" w:hAnsi="Times New Roman" w:cs="Times New Roman"/>
          <w:i/>
          <w:iCs/>
          <w:sz w:val="20"/>
          <w:szCs w:val="20"/>
        </w:rPr>
      </w:pPr>
      <w:r w:rsidRPr="00A42072">
        <w:rPr>
          <w:rFonts w:ascii="Times New Roman" w:hAnsi="Times New Roman" w:cs="Times New Roman"/>
          <w:sz w:val="20"/>
          <w:szCs w:val="20"/>
        </w:rPr>
        <w:lastRenderedPageBreak/>
        <w:t xml:space="preserve">Cash outflow </w:t>
      </w:r>
      <w:r>
        <w:rPr>
          <w:rFonts w:ascii="Times New Roman" w:hAnsi="Times New Roman" w:cs="Times New Roman"/>
          <w:sz w:val="20"/>
          <w:szCs w:val="20"/>
        </w:rPr>
        <w:t>used in</w:t>
      </w:r>
      <w:r w:rsidRPr="00A42072">
        <w:rPr>
          <w:rFonts w:ascii="Times New Roman" w:hAnsi="Times New Roman" w:cs="Times New Roman"/>
          <w:sz w:val="20"/>
          <w:szCs w:val="20"/>
        </w:rPr>
        <w:t xml:space="preserve"> operating activities for the </w:t>
      </w:r>
      <w:r w:rsidR="009E2275">
        <w:rPr>
          <w:rFonts w:ascii="Times New Roman" w:hAnsi="Times New Roman" w:cs="Times New Roman"/>
          <w:sz w:val="20"/>
          <w:szCs w:val="20"/>
        </w:rPr>
        <w:t xml:space="preserve">period ended </w:t>
      </w:r>
      <w:r w:rsidR="006A4DDD">
        <w:rPr>
          <w:rFonts w:ascii="Times New Roman" w:hAnsi="Times New Roman" w:cs="Times New Roman"/>
          <w:sz w:val="20"/>
          <w:szCs w:val="20"/>
        </w:rPr>
        <w:t>June 30</w:t>
      </w:r>
      <w:r w:rsidR="009E2275" w:rsidRPr="005C4893">
        <w:rPr>
          <w:rFonts w:ascii="Times New Roman" w:hAnsi="Times New Roman" w:cs="Times New Roman"/>
          <w:sz w:val="20"/>
          <w:szCs w:val="20"/>
        </w:rPr>
        <w:t xml:space="preserve">, </w:t>
      </w:r>
      <w:proofErr w:type="gramStart"/>
      <w:r w:rsidR="009E2275" w:rsidRPr="005C4893">
        <w:rPr>
          <w:rFonts w:ascii="Times New Roman" w:hAnsi="Times New Roman" w:cs="Times New Roman"/>
          <w:sz w:val="20"/>
          <w:szCs w:val="20"/>
        </w:rPr>
        <w:t>2021</w:t>
      </w:r>
      <w:proofErr w:type="gramEnd"/>
      <w:r w:rsidRPr="005C4893">
        <w:rPr>
          <w:rFonts w:ascii="Times New Roman" w:hAnsi="Times New Roman" w:cs="Times New Roman"/>
          <w:sz w:val="20"/>
          <w:szCs w:val="20"/>
        </w:rPr>
        <w:t xml:space="preserve"> was </w:t>
      </w:r>
      <w:r w:rsidRPr="00476289">
        <w:rPr>
          <w:rFonts w:ascii="Times New Roman" w:hAnsi="Times New Roman" w:cs="Times New Roman"/>
          <w:sz w:val="20"/>
          <w:szCs w:val="20"/>
        </w:rPr>
        <w:t>$</w:t>
      </w:r>
      <w:r w:rsidR="005A1807" w:rsidRPr="005A1807">
        <w:rPr>
          <w:rFonts w:ascii="Times New Roman" w:hAnsi="Times New Roman" w:cs="Times New Roman"/>
          <w:sz w:val="20"/>
          <w:szCs w:val="20"/>
        </w:rPr>
        <w:t>1,</w:t>
      </w:r>
      <w:r w:rsidR="00CA4529">
        <w:rPr>
          <w:rFonts w:ascii="Times New Roman" w:hAnsi="Times New Roman" w:cs="Times New Roman"/>
          <w:sz w:val="20"/>
          <w:szCs w:val="20"/>
        </w:rPr>
        <w:t>5</w:t>
      </w:r>
      <w:r w:rsidR="005A1807" w:rsidRPr="005A1807">
        <w:rPr>
          <w:rFonts w:ascii="Times New Roman" w:hAnsi="Times New Roman" w:cs="Times New Roman"/>
          <w:sz w:val="20"/>
          <w:szCs w:val="20"/>
        </w:rPr>
        <w:t>92,849</w:t>
      </w:r>
      <w:r w:rsidR="009E2275">
        <w:rPr>
          <w:rFonts w:ascii="Times New Roman" w:hAnsi="Times New Roman" w:cs="Times New Roman"/>
          <w:sz w:val="20"/>
          <w:szCs w:val="20"/>
        </w:rPr>
        <w:t xml:space="preserve"> </w:t>
      </w:r>
      <w:r w:rsidRPr="00A42072">
        <w:rPr>
          <w:rFonts w:ascii="Times New Roman" w:hAnsi="Times New Roman" w:cs="Times New Roman"/>
          <w:sz w:val="20"/>
          <w:szCs w:val="20"/>
        </w:rPr>
        <w:t xml:space="preserve">compared to </w:t>
      </w:r>
      <w:r w:rsidR="009E2275" w:rsidRPr="00A42072">
        <w:rPr>
          <w:rFonts w:ascii="Times New Roman" w:hAnsi="Times New Roman" w:cs="Times New Roman"/>
          <w:sz w:val="20"/>
          <w:szCs w:val="20"/>
        </w:rPr>
        <w:t>$</w:t>
      </w:r>
      <w:r w:rsidR="009E2275" w:rsidRPr="00AE1263">
        <w:rPr>
          <w:rFonts w:ascii="Times New Roman" w:hAnsi="Times New Roman" w:cs="Times New Roman"/>
          <w:sz w:val="20"/>
          <w:szCs w:val="20"/>
        </w:rPr>
        <w:t>8</w:t>
      </w:r>
      <w:r w:rsidR="00EE7B83">
        <w:rPr>
          <w:rFonts w:ascii="Times New Roman" w:hAnsi="Times New Roman" w:cs="Times New Roman"/>
          <w:sz w:val="20"/>
          <w:szCs w:val="20"/>
        </w:rPr>
        <w:t>84,970</w:t>
      </w:r>
      <w:r w:rsidR="009E2275">
        <w:rPr>
          <w:rFonts w:ascii="Times New Roman" w:hAnsi="Times New Roman" w:cs="Times New Roman"/>
          <w:sz w:val="20"/>
          <w:szCs w:val="20"/>
        </w:rPr>
        <w:t xml:space="preserve"> </w:t>
      </w:r>
      <w:r w:rsidRPr="00A42072">
        <w:rPr>
          <w:rFonts w:ascii="Times New Roman" w:hAnsi="Times New Roman" w:cs="Times New Roman"/>
          <w:sz w:val="20"/>
          <w:szCs w:val="20"/>
        </w:rPr>
        <w:t>for the</w:t>
      </w:r>
      <w:r w:rsidR="009E2275">
        <w:rPr>
          <w:rFonts w:ascii="Times New Roman" w:hAnsi="Times New Roman" w:cs="Times New Roman"/>
          <w:sz w:val="20"/>
          <w:szCs w:val="20"/>
        </w:rPr>
        <w:t xml:space="preserve"> period</w:t>
      </w:r>
      <w:r w:rsidRPr="00A42072">
        <w:rPr>
          <w:rFonts w:ascii="Times New Roman" w:hAnsi="Times New Roman" w:cs="Times New Roman"/>
          <w:sz w:val="20"/>
          <w:szCs w:val="20"/>
        </w:rPr>
        <w:t xml:space="preserve"> ended </w:t>
      </w:r>
      <w:r w:rsidR="006A4DDD">
        <w:rPr>
          <w:rFonts w:ascii="Times New Roman" w:hAnsi="Times New Roman" w:cs="Times New Roman"/>
          <w:sz w:val="20"/>
          <w:szCs w:val="20"/>
        </w:rPr>
        <w:t>June 30</w:t>
      </w:r>
      <w:r w:rsidR="009E2275">
        <w:rPr>
          <w:rFonts w:ascii="Times New Roman" w:hAnsi="Times New Roman" w:cs="Times New Roman"/>
          <w:sz w:val="20"/>
          <w:szCs w:val="20"/>
        </w:rPr>
        <w:t>, 2020</w:t>
      </w:r>
      <w:r w:rsidRPr="00A42072">
        <w:rPr>
          <w:rFonts w:ascii="Times New Roman" w:hAnsi="Times New Roman" w:cs="Times New Roman"/>
          <w:sz w:val="20"/>
          <w:szCs w:val="20"/>
        </w:rPr>
        <w:t>. The cash outflow is primarily related to the loss for the year, offset by non-cash items and net changes in non-cash working capital items.</w:t>
      </w:r>
    </w:p>
    <w:p w14:paraId="3AFCEF5B" w14:textId="0AB8BDCE" w:rsidR="009E2275" w:rsidRDefault="009E2275" w:rsidP="006D7D04">
      <w:pPr>
        <w:spacing w:after="0" w:line="240" w:lineRule="auto"/>
        <w:jc w:val="both"/>
        <w:rPr>
          <w:rFonts w:ascii="Times New Roman" w:hAnsi="Times New Roman" w:cs="Times New Roman"/>
          <w:i/>
          <w:iCs/>
          <w:sz w:val="20"/>
          <w:szCs w:val="20"/>
        </w:rPr>
      </w:pPr>
    </w:p>
    <w:p w14:paraId="5FD44D97" w14:textId="0C9B4043" w:rsidR="006D7D04" w:rsidRPr="00A42072" w:rsidRDefault="006D7D04" w:rsidP="006D7D04">
      <w:pPr>
        <w:spacing w:after="0" w:line="240" w:lineRule="auto"/>
        <w:jc w:val="both"/>
        <w:rPr>
          <w:rFonts w:ascii="Times New Roman" w:hAnsi="Times New Roman" w:cs="Times New Roman"/>
          <w:sz w:val="20"/>
          <w:szCs w:val="20"/>
        </w:rPr>
      </w:pPr>
      <w:r w:rsidRPr="00A42072">
        <w:rPr>
          <w:rFonts w:ascii="Times New Roman" w:hAnsi="Times New Roman" w:cs="Times New Roman"/>
          <w:i/>
          <w:iCs/>
          <w:sz w:val="20"/>
          <w:szCs w:val="20"/>
        </w:rPr>
        <w:t>Investing Activities</w:t>
      </w:r>
    </w:p>
    <w:p w14:paraId="6EB19256" w14:textId="77777777" w:rsidR="006D7D04" w:rsidRPr="00A42072" w:rsidRDefault="006D7D04" w:rsidP="006D7D04">
      <w:pPr>
        <w:spacing w:after="0" w:line="240" w:lineRule="auto"/>
        <w:jc w:val="both"/>
        <w:rPr>
          <w:rFonts w:ascii="Times New Roman" w:hAnsi="Times New Roman" w:cs="Times New Roman"/>
          <w:sz w:val="20"/>
          <w:szCs w:val="20"/>
        </w:rPr>
      </w:pPr>
    </w:p>
    <w:p w14:paraId="2D47F071" w14:textId="55202C9A" w:rsidR="006D7D04" w:rsidRDefault="006D7D04" w:rsidP="006D7D04">
      <w:pPr>
        <w:spacing w:after="0" w:line="240" w:lineRule="auto"/>
        <w:jc w:val="both"/>
        <w:rPr>
          <w:rFonts w:ascii="Times New Roman" w:hAnsi="Times New Roman" w:cs="Times New Roman"/>
          <w:sz w:val="20"/>
          <w:szCs w:val="20"/>
        </w:rPr>
      </w:pPr>
      <w:r w:rsidRPr="00A42072">
        <w:rPr>
          <w:rFonts w:ascii="Times New Roman" w:hAnsi="Times New Roman" w:cs="Times New Roman"/>
          <w:sz w:val="20"/>
          <w:szCs w:val="20"/>
        </w:rPr>
        <w:t xml:space="preserve">Cash outflow </w:t>
      </w:r>
      <w:r>
        <w:rPr>
          <w:rFonts w:ascii="Times New Roman" w:hAnsi="Times New Roman" w:cs="Times New Roman"/>
          <w:sz w:val="20"/>
          <w:szCs w:val="20"/>
        </w:rPr>
        <w:t>used in</w:t>
      </w:r>
      <w:r w:rsidRPr="00A42072">
        <w:rPr>
          <w:rFonts w:ascii="Times New Roman" w:hAnsi="Times New Roman" w:cs="Times New Roman"/>
          <w:sz w:val="20"/>
          <w:szCs w:val="20"/>
        </w:rPr>
        <w:t xml:space="preserve"> investing </w:t>
      </w:r>
      <w:r w:rsidR="00B65CAE" w:rsidRPr="00A42072">
        <w:rPr>
          <w:rFonts w:ascii="Times New Roman" w:hAnsi="Times New Roman" w:cs="Times New Roman"/>
          <w:sz w:val="20"/>
          <w:szCs w:val="20"/>
        </w:rPr>
        <w:t>activit</w:t>
      </w:r>
      <w:r w:rsidR="00B65CAE">
        <w:rPr>
          <w:rFonts w:ascii="Times New Roman" w:hAnsi="Times New Roman" w:cs="Times New Roman"/>
          <w:sz w:val="20"/>
          <w:szCs w:val="20"/>
        </w:rPr>
        <w:t>y</w:t>
      </w:r>
      <w:r w:rsidR="00B65CAE" w:rsidRPr="00A42072">
        <w:rPr>
          <w:rFonts w:ascii="Times New Roman" w:hAnsi="Times New Roman" w:cs="Times New Roman"/>
          <w:sz w:val="20"/>
          <w:szCs w:val="20"/>
        </w:rPr>
        <w:t xml:space="preserve"> </w:t>
      </w:r>
      <w:r w:rsidRPr="00A42072">
        <w:rPr>
          <w:rFonts w:ascii="Times New Roman" w:hAnsi="Times New Roman" w:cs="Times New Roman"/>
          <w:sz w:val="20"/>
          <w:szCs w:val="20"/>
        </w:rPr>
        <w:t xml:space="preserve">for the </w:t>
      </w:r>
      <w:r w:rsidR="009E2275">
        <w:rPr>
          <w:rFonts w:ascii="Times New Roman" w:hAnsi="Times New Roman" w:cs="Times New Roman"/>
          <w:sz w:val="20"/>
          <w:szCs w:val="20"/>
        </w:rPr>
        <w:t>period ended</w:t>
      </w:r>
      <w:r w:rsidRPr="00A42072">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sidRPr="005C4893">
        <w:rPr>
          <w:rFonts w:ascii="Times New Roman" w:hAnsi="Times New Roman" w:cs="Times New Roman"/>
          <w:sz w:val="20"/>
          <w:szCs w:val="20"/>
        </w:rPr>
        <w:t xml:space="preserve">, </w:t>
      </w:r>
      <w:proofErr w:type="gramStart"/>
      <w:r w:rsidR="009E2275" w:rsidRPr="00476289">
        <w:rPr>
          <w:rFonts w:ascii="Times New Roman" w:hAnsi="Times New Roman" w:cs="Times New Roman"/>
          <w:sz w:val="20"/>
          <w:szCs w:val="20"/>
        </w:rPr>
        <w:t>2021</w:t>
      </w:r>
      <w:proofErr w:type="gramEnd"/>
      <w:r w:rsidRPr="00476289">
        <w:rPr>
          <w:rFonts w:ascii="Times New Roman" w:hAnsi="Times New Roman" w:cs="Times New Roman"/>
          <w:sz w:val="20"/>
          <w:szCs w:val="20"/>
        </w:rPr>
        <w:t xml:space="preserve"> was $</w:t>
      </w:r>
      <w:r w:rsidR="005A1807" w:rsidRPr="005A1807">
        <w:rPr>
          <w:rFonts w:ascii="Times New Roman" w:hAnsi="Times New Roman" w:cs="Times New Roman"/>
          <w:sz w:val="20"/>
          <w:szCs w:val="20"/>
        </w:rPr>
        <w:t>1,443,439</w:t>
      </w:r>
      <w:r w:rsidRPr="00476289">
        <w:rPr>
          <w:rFonts w:ascii="Times New Roman" w:hAnsi="Times New Roman" w:cs="Times New Roman"/>
          <w:sz w:val="20"/>
          <w:szCs w:val="20"/>
        </w:rPr>
        <w:t xml:space="preserve"> compared to</w:t>
      </w:r>
      <w:r w:rsidRPr="00A42072">
        <w:rPr>
          <w:rFonts w:ascii="Times New Roman" w:hAnsi="Times New Roman" w:cs="Times New Roman"/>
          <w:sz w:val="20"/>
          <w:szCs w:val="20"/>
        </w:rPr>
        <w:t xml:space="preserve"> </w:t>
      </w:r>
      <w:r w:rsidR="009E2275">
        <w:rPr>
          <w:rFonts w:ascii="Times New Roman" w:hAnsi="Times New Roman" w:cs="Times New Roman"/>
          <w:sz w:val="20"/>
          <w:szCs w:val="20"/>
        </w:rPr>
        <w:t>$4,135</w:t>
      </w:r>
      <w:r w:rsidRPr="00A42072">
        <w:rPr>
          <w:rFonts w:ascii="Times New Roman" w:hAnsi="Times New Roman" w:cs="Times New Roman"/>
          <w:sz w:val="20"/>
          <w:szCs w:val="20"/>
        </w:rPr>
        <w:t xml:space="preserve"> for the </w:t>
      </w:r>
      <w:r w:rsidR="009E2275">
        <w:rPr>
          <w:rFonts w:ascii="Times New Roman" w:hAnsi="Times New Roman" w:cs="Times New Roman"/>
          <w:sz w:val="20"/>
          <w:szCs w:val="20"/>
        </w:rPr>
        <w:t>period ended</w:t>
      </w:r>
      <w:r w:rsidRPr="00A42072">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Pr>
          <w:rFonts w:ascii="Times New Roman" w:hAnsi="Times New Roman" w:cs="Times New Roman"/>
          <w:sz w:val="20"/>
          <w:szCs w:val="20"/>
        </w:rPr>
        <w:t>, 2020</w:t>
      </w:r>
      <w:r>
        <w:rPr>
          <w:rFonts w:ascii="Times New Roman" w:hAnsi="Times New Roman" w:cs="Times New Roman"/>
          <w:sz w:val="20"/>
          <w:szCs w:val="20"/>
        </w:rPr>
        <w:t xml:space="preserve">. </w:t>
      </w:r>
      <w:r w:rsidR="00476289">
        <w:rPr>
          <w:rFonts w:ascii="Times New Roman" w:hAnsi="Times New Roman" w:cs="Times New Roman"/>
          <w:sz w:val="20"/>
          <w:szCs w:val="20"/>
        </w:rPr>
        <w:t xml:space="preserve">During 2021, the Company completed the acquisition of </w:t>
      </w:r>
      <w:proofErr w:type="spellStart"/>
      <w:r w:rsidR="00476289">
        <w:rPr>
          <w:rFonts w:ascii="Times New Roman" w:hAnsi="Times New Roman" w:cs="Times New Roman"/>
          <w:sz w:val="20"/>
          <w:szCs w:val="20"/>
        </w:rPr>
        <w:t>Inverite</w:t>
      </w:r>
      <w:proofErr w:type="spellEnd"/>
      <w:r w:rsidR="007E18F3">
        <w:rPr>
          <w:rFonts w:ascii="Times New Roman" w:hAnsi="Times New Roman" w:cs="Times New Roman"/>
          <w:sz w:val="20"/>
          <w:szCs w:val="20"/>
        </w:rPr>
        <w:t xml:space="preserve"> by making a cash payment of $1,460,000</w:t>
      </w:r>
      <w:r w:rsidR="005A1807">
        <w:rPr>
          <w:rFonts w:ascii="Times New Roman" w:hAnsi="Times New Roman" w:cs="Times New Roman"/>
          <w:sz w:val="20"/>
          <w:szCs w:val="20"/>
        </w:rPr>
        <w:t xml:space="preserve"> and received cash of $18,136 from </w:t>
      </w:r>
      <w:proofErr w:type="spellStart"/>
      <w:r w:rsidR="005A1807">
        <w:rPr>
          <w:rFonts w:ascii="Times New Roman" w:hAnsi="Times New Roman" w:cs="Times New Roman"/>
          <w:sz w:val="20"/>
          <w:szCs w:val="20"/>
        </w:rPr>
        <w:t>Inverite</w:t>
      </w:r>
      <w:proofErr w:type="spellEnd"/>
      <w:r w:rsidR="00476289">
        <w:rPr>
          <w:rFonts w:ascii="Times New Roman" w:hAnsi="Times New Roman" w:cs="Times New Roman"/>
          <w:sz w:val="20"/>
          <w:szCs w:val="20"/>
        </w:rPr>
        <w:t>. The Company also acquired property and equipment of $1,575 (2020 - $4,135)</w:t>
      </w:r>
      <w:r>
        <w:rPr>
          <w:rFonts w:ascii="Times New Roman" w:hAnsi="Times New Roman" w:cs="Times New Roman"/>
          <w:sz w:val="20"/>
          <w:szCs w:val="20"/>
        </w:rPr>
        <w:t xml:space="preserve">.   </w:t>
      </w:r>
    </w:p>
    <w:p w14:paraId="3BDFFAFD" w14:textId="77777777" w:rsidR="006D7D04" w:rsidRDefault="006D7D04" w:rsidP="006D7D04">
      <w:pPr>
        <w:spacing w:after="0" w:line="240" w:lineRule="auto"/>
        <w:jc w:val="both"/>
        <w:rPr>
          <w:rFonts w:ascii="Times New Roman" w:hAnsi="Times New Roman" w:cs="Times New Roman"/>
          <w:i/>
          <w:iCs/>
          <w:sz w:val="20"/>
          <w:szCs w:val="20"/>
        </w:rPr>
      </w:pPr>
    </w:p>
    <w:p w14:paraId="1AAC90E2" w14:textId="77777777" w:rsidR="006D7D04" w:rsidRPr="00476ADA" w:rsidRDefault="006D7D04" w:rsidP="006D7D04">
      <w:pPr>
        <w:spacing w:after="0" w:line="240" w:lineRule="auto"/>
        <w:jc w:val="both"/>
        <w:rPr>
          <w:rFonts w:ascii="Times New Roman" w:hAnsi="Times New Roman" w:cs="Times New Roman"/>
          <w:sz w:val="20"/>
          <w:szCs w:val="20"/>
        </w:rPr>
      </w:pPr>
      <w:r w:rsidRPr="00476ADA">
        <w:rPr>
          <w:rFonts w:ascii="Times New Roman" w:hAnsi="Times New Roman" w:cs="Times New Roman"/>
          <w:i/>
          <w:iCs/>
          <w:sz w:val="20"/>
          <w:szCs w:val="20"/>
        </w:rPr>
        <w:t>Financing Activities</w:t>
      </w:r>
    </w:p>
    <w:p w14:paraId="693EE0D3" w14:textId="77777777" w:rsidR="006D7D04" w:rsidRPr="00152D99" w:rsidRDefault="006D7D04" w:rsidP="006D7D04">
      <w:pPr>
        <w:spacing w:after="0" w:line="240" w:lineRule="auto"/>
        <w:jc w:val="both"/>
        <w:rPr>
          <w:rFonts w:ascii="Times New Roman" w:hAnsi="Times New Roman" w:cs="Times New Roman"/>
          <w:sz w:val="20"/>
          <w:szCs w:val="20"/>
        </w:rPr>
      </w:pPr>
    </w:p>
    <w:p w14:paraId="2C43FDBB" w14:textId="22F122A4" w:rsidR="006D7D04" w:rsidRDefault="006D7D04" w:rsidP="006D7D04">
      <w:pPr>
        <w:spacing w:after="0" w:line="240" w:lineRule="auto"/>
        <w:jc w:val="both"/>
        <w:rPr>
          <w:rFonts w:ascii="Times New Roman" w:hAnsi="Times New Roman" w:cs="Times New Roman"/>
          <w:sz w:val="20"/>
          <w:szCs w:val="20"/>
        </w:rPr>
      </w:pPr>
      <w:r w:rsidRPr="005C4893">
        <w:rPr>
          <w:rFonts w:ascii="Times New Roman" w:hAnsi="Times New Roman" w:cs="Times New Roman"/>
          <w:sz w:val="20"/>
          <w:szCs w:val="20"/>
        </w:rPr>
        <w:t xml:space="preserve">Cash inflow from financing activities for the </w:t>
      </w:r>
      <w:r w:rsidR="009E2275" w:rsidRPr="005C4893">
        <w:rPr>
          <w:rFonts w:ascii="Times New Roman" w:hAnsi="Times New Roman" w:cs="Times New Roman"/>
          <w:sz w:val="20"/>
          <w:szCs w:val="20"/>
        </w:rPr>
        <w:t>period ended</w:t>
      </w:r>
      <w:r w:rsidRPr="005C4893">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9E2275" w:rsidRPr="005C4893">
        <w:rPr>
          <w:rFonts w:ascii="Times New Roman" w:hAnsi="Times New Roman" w:cs="Times New Roman"/>
          <w:sz w:val="20"/>
          <w:szCs w:val="20"/>
        </w:rPr>
        <w:t xml:space="preserve">, </w:t>
      </w:r>
      <w:proofErr w:type="gramStart"/>
      <w:r w:rsidR="009E2275" w:rsidRPr="005C4893">
        <w:rPr>
          <w:rFonts w:ascii="Times New Roman" w:hAnsi="Times New Roman" w:cs="Times New Roman"/>
          <w:sz w:val="20"/>
          <w:szCs w:val="20"/>
        </w:rPr>
        <w:t>2021</w:t>
      </w:r>
      <w:proofErr w:type="gramEnd"/>
      <w:r w:rsidRPr="005C4893">
        <w:rPr>
          <w:rFonts w:ascii="Times New Roman" w:hAnsi="Times New Roman" w:cs="Times New Roman"/>
          <w:sz w:val="20"/>
          <w:szCs w:val="20"/>
        </w:rPr>
        <w:t xml:space="preserve"> w</w:t>
      </w:r>
      <w:r w:rsidRPr="00476289">
        <w:rPr>
          <w:rFonts w:ascii="Times New Roman" w:hAnsi="Times New Roman" w:cs="Times New Roman"/>
          <w:sz w:val="20"/>
          <w:szCs w:val="20"/>
        </w:rPr>
        <w:t>as $</w:t>
      </w:r>
      <w:r w:rsidR="005A1807" w:rsidRPr="005A1807">
        <w:rPr>
          <w:rFonts w:ascii="Times New Roman" w:hAnsi="Times New Roman" w:cs="Times New Roman"/>
          <w:sz w:val="20"/>
          <w:szCs w:val="20"/>
        </w:rPr>
        <w:t>2,</w:t>
      </w:r>
      <w:r w:rsidR="00CA4529">
        <w:rPr>
          <w:rFonts w:ascii="Times New Roman" w:hAnsi="Times New Roman" w:cs="Times New Roman"/>
          <w:sz w:val="20"/>
          <w:szCs w:val="20"/>
        </w:rPr>
        <w:t>2</w:t>
      </w:r>
      <w:r w:rsidR="005A1807" w:rsidRPr="005A1807">
        <w:rPr>
          <w:rFonts w:ascii="Times New Roman" w:hAnsi="Times New Roman" w:cs="Times New Roman"/>
          <w:sz w:val="20"/>
          <w:szCs w:val="20"/>
        </w:rPr>
        <w:t>35,886</w:t>
      </w:r>
      <w:r w:rsidRPr="005C4893">
        <w:rPr>
          <w:rFonts w:ascii="Times New Roman" w:hAnsi="Times New Roman" w:cs="Times New Roman"/>
          <w:sz w:val="20"/>
          <w:szCs w:val="20"/>
        </w:rPr>
        <w:t xml:space="preserve"> compared to </w:t>
      </w:r>
      <w:r w:rsidR="009E2275" w:rsidRPr="005C4893">
        <w:rPr>
          <w:rFonts w:ascii="Times New Roman" w:hAnsi="Times New Roman" w:cs="Times New Roman"/>
          <w:sz w:val="20"/>
          <w:szCs w:val="20"/>
        </w:rPr>
        <w:t>$</w:t>
      </w:r>
      <w:r w:rsidR="00EE7B83">
        <w:rPr>
          <w:rFonts w:ascii="Times New Roman" w:hAnsi="Times New Roman" w:cs="Times New Roman"/>
          <w:sz w:val="20"/>
          <w:szCs w:val="20"/>
        </w:rPr>
        <w:t>411,451</w:t>
      </w:r>
      <w:r w:rsidR="009E2275" w:rsidRPr="005C4893">
        <w:rPr>
          <w:rFonts w:ascii="Times New Roman" w:hAnsi="Times New Roman" w:cs="Times New Roman"/>
          <w:sz w:val="20"/>
          <w:szCs w:val="20"/>
        </w:rPr>
        <w:t xml:space="preserve"> </w:t>
      </w:r>
      <w:r w:rsidRPr="005C4893">
        <w:rPr>
          <w:rFonts w:ascii="Times New Roman" w:hAnsi="Times New Roman" w:cs="Times New Roman"/>
          <w:sz w:val="20"/>
          <w:szCs w:val="20"/>
        </w:rPr>
        <w:t xml:space="preserve">for </w:t>
      </w:r>
      <w:r w:rsidRPr="00476289">
        <w:rPr>
          <w:rFonts w:ascii="Times New Roman" w:hAnsi="Times New Roman" w:cs="Times New Roman"/>
          <w:sz w:val="20"/>
          <w:szCs w:val="20"/>
        </w:rPr>
        <w:t xml:space="preserve">the </w:t>
      </w:r>
      <w:r w:rsidR="009E2275" w:rsidRPr="00476289">
        <w:rPr>
          <w:rFonts w:ascii="Times New Roman" w:hAnsi="Times New Roman" w:cs="Times New Roman"/>
          <w:sz w:val="20"/>
          <w:szCs w:val="20"/>
        </w:rPr>
        <w:t>period ended</w:t>
      </w:r>
      <w:r w:rsidRPr="00476289">
        <w:rPr>
          <w:rFonts w:ascii="Times New Roman" w:hAnsi="Times New Roman" w:cs="Times New Roman"/>
          <w:sz w:val="20"/>
          <w:szCs w:val="20"/>
        </w:rPr>
        <w:t xml:space="preserve"> </w:t>
      </w:r>
      <w:r w:rsidR="006A4DDD" w:rsidRPr="00476289">
        <w:rPr>
          <w:rFonts w:ascii="Times New Roman" w:hAnsi="Times New Roman" w:cs="Times New Roman"/>
          <w:sz w:val="20"/>
          <w:szCs w:val="20"/>
        </w:rPr>
        <w:t>June 30</w:t>
      </w:r>
      <w:r w:rsidR="009E2275" w:rsidRPr="00476289">
        <w:rPr>
          <w:rFonts w:ascii="Times New Roman" w:hAnsi="Times New Roman" w:cs="Times New Roman"/>
          <w:sz w:val="20"/>
          <w:szCs w:val="20"/>
        </w:rPr>
        <w:t>, 2020</w:t>
      </w:r>
      <w:r w:rsidRPr="00476289">
        <w:rPr>
          <w:rFonts w:ascii="Times New Roman" w:hAnsi="Times New Roman" w:cs="Times New Roman"/>
          <w:sz w:val="20"/>
          <w:szCs w:val="20"/>
        </w:rPr>
        <w:t xml:space="preserve">. During </w:t>
      </w:r>
      <w:r w:rsidR="00B65CAE" w:rsidRPr="00476289">
        <w:rPr>
          <w:rFonts w:ascii="Times New Roman" w:hAnsi="Times New Roman" w:cs="Times New Roman"/>
          <w:sz w:val="20"/>
          <w:szCs w:val="20"/>
        </w:rPr>
        <w:t>2021</w:t>
      </w:r>
      <w:r w:rsidRPr="00476289">
        <w:rPr>
          <w:rFonts w:ascii="Times New Roman" w:hAnsi="Times New Roman" w:cs="Times New Roman"/>
          <w:sz w:val="20"/>
          <w:szCs w:val="20"/>
        </w:rPr>
        <w:t xml:space="preserve">, the Company completed </w:t>
      </w:r>
      <w:r w:rsidR="005C4893" w:rsidRPr="00476289">
        <w:rPr>
          <w:rFonts w:ascii="Times New Roman" w:hAnsi="Times New Roman" w:cs="Times New Roman"/>
          <w:sz w:val="20"/>
          <w:szCs w:val="20"/>
        </w:rPr>
        <w:t xml:space="preserve">two </w:t>
      </w:r>
      <w:r w:rsidRPr="00476289">
        <w:rPr>
          <w:rFonts w:ascii="Times New Roman" w:hAnsi="Times New Roman" w:cs="Times New Roman"/>
          <w:sz w:val="20"/>
          <w:szCs w:val="20"/>
        </w:rPr>
        <w:t>equity private placements that resulted in proceeds of $</w:t>
      </w:r>
      <w:r w:rsidR="00B65CAE" w:rsidRPr="00476289">
        <w:rPr>
          <w:rFonts w:ascii="Times New Roman" w:hAnsi="Times New Roman" w:cs="Times New Roman"/>
          <w:sz w:val="20"/>
          <w:szCs w:val="20"/>
        </w:rPr>
        <w:t>1,</w:t>
      </w:r>
      <w:r w:rsidR="00CA4529">
        <w:rPr>
          <w:rFonts w:ascii="Times New Roman" w:hAnsi="Times New Roman" w:cs="Times New Roman"/>
          <w:sz w:val="20"/>
          <w:szCs w:val="20"/>
        </w:rPr>
        <w:t>0</w:t>
      </w:r>
      <w:r w:rsidR="00B65CAE" w:rsidRPr="00476289">
        <w:rPr>
          <w:rFonts w:ascii="Times New Roman" w:hAnsi="Times New Roman" w:cs="Times New Roman"/>
          <w:sz w:val="20"/>
          <w:szCs w:val="20"/>
        </w:rPr>
        <w:t>93,700</w:t>
      </w:r>
      <w:r w:rsidRPr="00476289">
        <w:rPr>
          <w:rFonts w:ascii="Times New Roman" w:hAnsi="Times New Roman" w:cs="Times New Roman"/>
          <w:sz w:val="20"/>
          <w:szCs w:val="20"/>
        </w:rPr>
        <w:t>, net of share issuance costs</w:t>
      </w:r>
      <w:r w:rsidR="00476289" w:rsidRPr="00476289">
        <w:rPr>
          <w:rFonts w:ascii="Times New Roman" w:hAnsi="Times New Roman" w:cs="Times New Roman"/>
          <w:sz w:val="20"/>
          <w:szCs w:val="20"/>
        </w:rPr>
        <w:t xml:space="preserve">, the Company completed a convertible debenture financing that resulted in $1,262,850, net of issuance costs, </w:t>
      </w:r>
      <w:r w:rsidR="00476289" w:rsidRPr="00263321">
        <w:rPr>
          <w:rFonts w:ascii="Times New Roman" w:hAnsi="Times New Roman" w:cs="Times New Roman"/>
          <w:sz w:val="20"/>
          <w:szCs w:val="20"/>
        </w:rPr>
        <w:t>received sublease payments of $27,153,</w:t>
      </w:r>
      <w:r w:rsidR="005C4893" w:rsidRPr="00263321">
        <w:rPr>
          <w:rFonts w:ascii="Times New Roman" w:hAnsi="Times New Roman" w:cs="Times New Roman"/>
          <w:sz w:val="20"/>
          <w:szCs w:val="20"/>
        </w:rPr>
        <w:t xml:space="preserve"> </w:t>
      </w:r>
      <w:r w:rsidR="00476289" w:rsidRPr="00263321">
        <w:rPr>
          <w:rFonts w:ascii="Times New Roman" w:hAnsi="Times New Roman" w:cs="Times New Roman"/>
          <w:sz w:val="20"/>
          <w:szCs w:val="20"/>
        </w:rPr>
        <w:t xml:space="preserve">the </w:t>
      </w:r>
      <w:r w:rsidRPr="00263321">
        <w:rPr>
          <w:rFonts w:ascii="Times New Roman" w:hAnsi="Times New Roman" w:cs="Times New Roman"/>
          <w:sz w:val="20"/>
          <w:szCs w:val="20"/>
        </w:rPr>
        <w:t>Company made payments of $</w:t>
      </w:r>
      <w:r w:rsidR="00263321" w:rsidRPr="00263321">
        <w:rPr>
          <w:rFonts w:ascii="Times New Roman" w:hAnsi="Times New Roman" w:cs="Times New Roman"/>
          <w:sz w:val="20"/>
          <w:szCs w:val="20"/>
        </w:rPr>
        <w:t>21,661</w:t>
      </w:r>
      <w:r w:rsidR="004A1147" w:rsidRPr="00263321">
        <w:rPr>
          <w:rFonts w:ascii="Times New Roman" w:hAnsi="Times New Roman" w:cs="Times New Roman"/>
          <w:sz w:val="20"/>
          <w:szCs w:val="20"/>
        </w:rPr>
        <w:t xml:space="preserve"> </w:t>
      </w:r>
      <w:r w:rsidRPr="00263321">
        <w:rPr>
          <w:rFonts w:ascii="Times New Roman" w:hAnsi="Times New Roman" w:cs="Times New Roman"/>
          <w:sz w:val="20"/>
          <w:szCs w:val="20"/>
        </w:rPr>
        <w:t>for the redemption of bonds, made $</w:t>
      </w:r>
      <w:r w:rsidR="00263321" w:rsidRPr="00263321">
        <w:rPr>
          <w:rFonts w:ascii="Times New Roman" w:hAnsi="Times New Roman" w:cs="Times New Roman"/>
          <w:sz w:val="20"/>
          <w:szCs w:val="20"/>
        </w:rPr>
        <w:t>102,833</w:t>
      </w:r>
      <w:r w:rsidRPr="00263321">
        <w:rPr>
          <w:rFonts w:ascii="Times New Roman" w:hAnsi="Times New Roman" w:cs="Times New Roman"/>
          <w:sz w:val="20"/>
          <w:szCs w:val="20"/>
        </w:rPr>
        <w:t xml:space="preserve"> in payments towards lease liabilities, </w:t>
      </w:r>
      <w:r w:rsidRPr="00CA4529">
        <w:rPr>
          <w:rFonts w:ascii="Times New Roman" w:hAnsi="Times New Roman" w:cs="Times New Roman"/>
          <w:sz w:val="20"/>
          <w:szCs w:val="20"/>
        </w:rPr>
        <w:t>made $</w:t>
      </w:r>
      <w:r w:rsidR="004A1147" w:rsidRPr="00CA4529">
        <w:rPr>
          <w:rFonts w:ascii="Times New Roman" w:hAnsi="Times New Roman" w:cs="Times New Roman"/>
          <w:sz w:val="20"/>
          <w:szCs w:val="20"/>
        </w:rPr>
        <w:t>10,741</w:t>
      </w:r>
      <w:r w:rsidRPr="00CA4529">
        <w:rPr>
          <w:rFonts w:ascii="Times New Roman" w:hAnsi="Times New Roman" w:cs="Times New Roman"/>
          <w:sz w:val="20"/>
          <w:szCs w:val="20"/>
        </w:rPr>
        <w:t xml:space="preserve"> </w:t>
      </w:r>
      <w:r w:rsidRPr="00263321">
        <w:rPr>
          <w:rFonts w:ascii="Times New Roman" w:hAnsi="Times New Roman" w:cs="Times New Roman"/>
          <w:sz w:val="20"/>
          <w:szCs w:val="20"/>
        </w:rPr>
        <w:t>in payments towards convertible debentures, and paid $</w:t>
      </w:r>
      <w:r w:rsidR="00476289" w:rsidRPr="00CA4529">
        <w:rPr>
          <w:rFonts w:ascii="Times New Roman" w:hAnsi="Times New Roman" w:cs="Times New Roman"/>
          <w:sz w:val="20"/>
          <w:szCs w:val="20"/>
        </w:rPr>
        <w:t>12,582</w:t>
      </w:r>
      <w:r w:rsidRPr="00CA4529">
        <w:rPr>
          <w:rFonts w:ascii="Times New Roman" w:hAnsi="Times New Roman" w:cs="Times New Roman"/>
          <w:sz w:val="20"/>
          <w:szCs w:val="20"/>
        </w:rPr>
        <w:t xml:space="preserve"> towards </w:t>
      </w:r>
      <w:r w:rsidRPr="00263321">
        <w:rPr>
          <w:rFonts w:ascii="Times New Roman" w:hAnsi="Times New Roman" w:cs="Times New Roman"/>
          <w:sz w:val="20"/>
          <w:szCs w:val="20"/>
        </w:rPr>
        <w:t xml:space="preserve">its loans payable. Financing activities in the prior year included the closing </w:t>
      </w:r>
      <w:r w:rsidR="004A1147" w:rsidRPr="00263321">
        <w:rPr>
          <w:rFonts w:ascii="Times New Roman" w:hAnsi="Times New Roman" w:cs="Times New Roman"/>
          <w:sz w:val="20"/>
          <w:szCs w:val="20"/>
        </w:rPr>
        <w:t>of convertible debenture financing</w:t>
      </w:r>
      <w:r w:rsidRPr="00263321">
        <w:rPr>
          <w:rFonts w:ascii="Times New Roman" w:hAnsi="Times New Roman" w:cs="Times New Roman"/>
          <w:sz w:val="20"/>
          <w:szCs w:val="20"/>
        </w:rPr>
        <w:t xml:space="preserve">, generating </w:t>
      </w:r>
      <w:r w:rsidR="004A1147" w:rsidRPr="00263321">
        <w:rPr>
          <w:rFonts w:ascii="Times New Roman" w:hAnsi="Times New Roman" w:cs="Times New Roman"/>
          <w:sz w:val="20"/>
          <w:szCs w:val="20"/>
        </w:rPr>
        <w:t>proceeds of $400,000</w:t>
      </w:r>
      <w:r w:rsidRPr="00263321">
        <w:rPr>
          <w:rFonts w:ascii="Times New Roman" w:hAnsi="Times New Roman" w:cs="Times New Roman"/>
          <w:sz w:val="20"/>
          <w:szCs w:val="20"/>
        </w:rPr>
        <w:t xml:space="preserve">, </w:t>
      </w:r>
      <w:r w:rsidR="004A1147" w:rsidRPr="00263321">
        <w:rPr>
          <w:rFonts w:ascii="Times New Roman" w:hAnsi="Times New Roman" w:cs="Times New Roman"/>
          <w:sz w:val="20"/>
          <w:szCs w:val="20"/>
        </w:rPr>
        <w:t>receiving $160,000 of convertible debenture funds in advance</w:t>
      </w:r>
      <w:r w:rsidRPr="00263321">
        <w:rPr>
          <w:rFonts w:ascii="Times New Roman" w:hAnsi="Times New Roman" w:cs="Times New Roman"/>
          <w:sz w:val="20"/>
          <w:szCs w:val="20"/>
        </w:rPr>
        <w:t xml:space="preserve">, </w:t>
      </w:r>
      <w:r w:rsidR="00263321" w:rsidRPr="00263321">
        <w:rPr>
          <w:rFonts w:ascii="Times New Roman" w:hAnsi="Times New Roman" w:cs="Times New Roman"/>
          <w:sz w:val="20"/>
          <w:szCs w:val="20"/>
        </w:rPr>
        <w:t xml:space="preserve">receiving $40,000 of proceeds from the government CEBA loan, </w:t>
      </w:r>
      <w:r w:rsidRPr="00263321">
        <w:rPr>
          <w:rFonts w:ascii="Times New Roman" w:hAnsi="Times New Roman" w:cs="Times New Roman"/>
          <w:sz w:val="20"/>
          <w:szCs w:val="20"/>
        </w:rPr>
        <w:t>paying out $</w:t>
      </w:r>
      <w:r w:rsidR="004A1147" w:rsidRPr="00263321">
        <w:rPr>
          <w:rFonts w:ascii="Times New Roman" w:hAnsi="Times New Roman" w:cs="Times New Roman"/>
          <w:sz w:val="20"/>
          <w:szCs w:val="20"/>
        </w:rPr>
        <w:t xml:space="preserve">76,466 </w:t>
      </w:r>
      <w:r w:rsidR="00DE63C1" w:rsidRPr="00263321">
        <w:rPr>
          <w:rFonts w:ascii="Times New Roman" w:hAnsi="Times New Roman" w:cs="Times New Roman"/>
          <w:sz w:val="20"/>
          <w:szCs w:val="20"/>
        </w:rPr>
        <w:t xml:space="preserve">towards </w:t>
      </w:r>
      <w:r w:rsidRPr="00263321">
        <w:rPr>
          <w:rFonts w:ascii="Times New Roman" w:hAnsi="Times New Roman" w:cs="Times New Roman"/>
          <w:sz w:val="20"/>
          <w:szCs w:val="20"/>
        </w:rPr>
        <w:t>the redemption of bonds, paying $</w:t>
      </w:r>
      <w:r w:rsidR="00263321" w:rsidRPr="00263321">
        <w:rPr>
          <w:rFonts w:ascii="Times New Roman" w:hAnsi="Times New Roman" w:cs="Times New Roman"/>
          <w:sz w:val="20"/>
          <w:szCs w:val="20"/>
        </w:rPr>
        <w:t>9,217</w:t>
      </w:r>
      <w:r w:rsidRPr="00263321">
        <w:rPr>
          <w:rFonts w:ascii="Times New Roman" w:hAnsi="Times New Roman" w:cs="Times New Roman"/>
          <w:sz w:val="20"/>
          <w:szCs w:val="20"/>
        </w:rPr>
        <w:t xml:space="preserve"> towards loans payable and paying $</w:t>
      </w:r>
      <w:r w:rsidR="00263321" w:rsidRPr="00263321">
        <w:rPr>
          <w:rFonts w:ascii="Times New Roman" w:hAnsi="Times New Roman" w:cs="Times New Roman"/>
          <w:sz w:val="20"/>
          <w:szCs w:val="20"/>
        </w:rPr>
        <w:t>102,866</w:t>
      </w:r>
      <w:r w:rsidRPr="00263321">
        <w:rPr>
          <w:rFonts w:ascii="Times New Roman" w:hAnsi="Times New Roman" w:cs="Times New Roman"/>
          <w:sz w:val="20"/>
          <w:szCs w:val="20"/>
        </w:rPr>
        <w:t xml:space="preserve"> for its lease liabilities.</w:t>
      </w:r>
    </w:p>
    <w:p w14:paraId="5EB2C85D" w14:textId="77777777" w:rsidR="005A1807" w:rsidRDefault="005A1807" w:rsidP="00A4460C">
      <w:pPr>
        <w:spacing w:after="0" w:line="240" w:lineRule="auto"/>
        <w:rPr>
          <w:rFonts w:ascii="Times New Roman" w:hAnsi="Times New Roman" w:cs="Times New Roman"/>
          <w:b/>
          <w:sz w:val="20"/>
          <w:szCs w:val="20"/>
        </w:rPr>
      </w:pPr>
    </w:p>
    <w:p w14:paraId="3E896564" w14:textId="7A13A520" w:rsidR="00972B31" w:rsidRPr="00665759" w:rsidRDefault="008C5669" w:rsidP="00A4460C">
      <w:pPr>
        <w:spacing w:after="0" w:line="240" w:lineRule="auto"/>
        <w:rPr>
          <w:rFonts w:ascii="Times New Roman" w:hAnsi="Times New Roman" w:cs="Times New Roman"/>
          <w:b/>
          <w:sz w:val="20"/>
          <w:szCs w:val="20"/>
        </w:rPr>
      </w:pPr>
      <w:r>
        <w:rPr>
          <w:rFonts w:ascii="Times New Roman" w:hAnsi="Times New Roman" w:cs="Times New Roman"/>
          <w:b/>
          <w:sz w:val="20"/>
          <w:szCs w:val="20"/>
        </w:rPr>
        <w:t>OFF-BALANCE SHEET ARRANGEMENTS</w:t>
      </w:r>
    </w:p>
    <w:p w14:paraId="03CE4E67" w14:textId="77777777" w:rsidR="008C5669" w:rsidRDefault="008C5669" w:rsidP="00A4460C">
      <w:pPr>
        <w:spacing w:after="0" w:line="240" w:lineRule="auto"/>
        <w:jc w:val="both"/>
        <w:rPr>
          <w:rFonts w:ascii="Times New Roman" w:hAnsi="Times New Roman" w:cs="Times New Roman"/>
          <w:sz w:val="20"/>
          <w:szCs w:val="20"/>
        </w:rPr>
      </w:pPr>
    </w:p>
    <w:p w14:paraId="3803957B" w14:textId="1430A3EF" w:rsidR="00972B31" w:rsidRDefault="008C5669" w:rsidP="00A4460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 </w:t>
      </w:r>
      <w:proofErr w:type="gramStart"/>
      <w:r>
        <w:rPr>
          <w:rFonts w:ascii="Times New Roman" w:hAnsi="Times New Roman" w:cs="Times New Roman"/>
          <w:sz w:val="20"/>
          <w:szCs w:val="20"/>
        </w:rPr>
        <w:t>at</w:t>
      </w:r>
      <w:proofErr w:type="gramEnd"/>
      <w:r w:rsidR="00972B31" w:rsidRPr="00665759">
        <w:rPr>
          <w:rFonts w:ascii="Times New Roman" w:hAnsi="Times New Roman" w:cs="Times New Roman"/>
          <w:sz w:val="20"/>
          <w:szCs w:val="20"/>
        </w:rPr>
        <w:t xml:space="preserve"> </w:t>
      </w:r>
      <w:r w:rsidR="006A4DDD">
        <w:rPr>
          <w:rFonts w:ascii="Times New Roman" w:hAnsi="Times New Roman" w:cs="Times New Roman"/>
          <w:sz w:val="20"/>
          <w:szCs w:val="20"/>
        </w:rPr>
        <w:t>June 30</w:t>
      </w:r>
      <w:r w:rsidR="006634F0">
        <w:rPr>
          <w:rFonts w:ascii="Times New Roman" w:hAnsi="Times New Roman" w:cs="Times New Roman"/>
          <w:sz w:val="20"/>
          <w:szCs w:val="20"/>
        </w:rPr>
        <w:t>,</w:t>
      </w:r>
      <w:r>
        <w:rPr>
          <w:rFonts w:ascii="Times New Roman" w:hAnsi="Times New Roman" w:cs="Times New Roman"/>
          <w:sz w:val="20"/>
          <w:szCs w:val="20"/>
        </w:rPr>
        <w:t xml:space="preserve"> 20</w:t>
      </w:r>
      <w:r w:rsidR="003E3D3A">
        <w:rPr>
          <w:rFonts w:ascii="Times New Roman" w:hAnsi="Times New Roman" w:cs="Times New Roman"/>
          <w:sz w:val="20"/>
          <w:szCs w:val="20"/>
        </w:rPr>
        <w:t>2</w:t>
      </w:r>
      <w:r w:rsidR="009E2275">
        <w:rPr>
          <w:rFonts w:ascii="Times New Roman" w:hAnsi="Times New Roman" w:cs="Times New Roman"/>
          <w:sz w:val="20"/>
          <w:szCs w:val="20"/>
        </w:rPr>
        <w:t>1</w:t>
      </w:r>
      <w:r w:rsidR="00972B31" w:rsidRPr="00665759">
        <w:rPr>
          <w:rFonts w:ascii="Times New Roman" w:hAnsi="Times New Roman" w:cs="Times New Roman"/>
          <w:sz w:val="20"/>
          <w:szCs w:val="20"/>
        </w:rPr>
        <w:t xml:space="preserve">, the </w:t>
      </w:r>
      <w:r w:rsidR="00B65CAE">
        <w:rPr>
          <w:rFonts w:ascii="Times New Roman" w:hAnsi="Times New Roman" w:cs="Times New Roman"/>
          <w:sz w:val="20"/>
          <w:szCs w:val="20"/>
        </w:rPr>
        <w:t>Company</w:t>
      </w:r>
      <w:r w:rsidR="00B65CAE" w:rsidRPr="00665759">
        <w:rPr>
          <w:rFonts w:ascii="Times New Roman" w:hAnsi="Times New Roman" w:cs="Times New Roman"/>
          <w:sz w:val="20"/>
          <w:szCs w:val="20"/>
        </w:rPr>
        <w:t xml:space="preserve"> </w:t>
      </w:r>
      <w:r w:rsidR="00972B31" w:rsidRPr="00665759">
        <w:rPr>
          <w:rFonts w:ascii="Times New Roman" w:hAnsi="Times New Roman" w:cs="Times New Roman"/>
          <w:sz w:val="20"/>
          <w:szCs w:val="20"/>
        </w:rPr>
        <w:t>ha</w:t>
      </w:r>
      <w:r w:rsidR="00FB1127" w:rsidRPr="00665759">
        <w:rPr>
          <w:rFonts w:ascii="Times New Roman" w:hAnsi="Times New Roman" w:cs="Times New Roman"/>
          <w:sz w:val="20"/>
          <w:szCs w:val="20"/>
        </w:rPr>
        <w:t>d</w:t>
      </w:r>
      <w:r w:rsidR="00972B31" w:rsidRPr="00665759">
        <w:rPr>
          <w:rFonts w:ascii="Times New Roman" w:hAnsi="Times New Roman" w:cs="Times New Roman"/>
          <w:sz w:val="20"/>
          <w:szCs w:val="20"/>
        </w:rPr>
        <w:t xml:space="preserve"> no off-balance sheet arrangements that have, or are reasonably likely to have, a current or future effect on the results of operations or financial condition of the </w:t>
      </w:r>
      <w:r w:rsidR="00B65CAE">
        <w:rPr>
          <w:rFonts w:ascii="Times New Roman" w:hAnsi="Times New Roman" w:cs="Times New Roman"/>
          <w:sz w:val="20"/>
          <w:szCs w:val="20"/>
        </w:rPr>
        <w:t>Company</w:t>
      </w:r>
      <w:r w:rsidR="00972B31" w:rsidRPr="00665759">
        <w:rPr>
          <w:rFonts w:ascii="Times New Roman" w:hAnsi="Times New Roman" w:cs="Times New Roman"/>
          <w:sz w:val="20"/>
          <w:szCs w:val="20"/>
        </w:rPr>
        <w:t>.</w:t>
      </w:r>
    </w:p>
    <w:p w14:paraId="07A551DF" w14:textId="77777777" w:rsidR="003E3D3A" w:rsidRPr="00665759" w:rsidRDefault="003E3D3A" w:rsidP="00A4460C">
      <w:pPr>
        <w:spacing w:after="0" w:line="240" w:lineRule="auto"/>
        <w:jc w:val="both"/>
        <w:rPr>
          <w:rFonts w:ascii="Times New Roman" w:hAnsi="Times New Roman" w:cs="Times New Roman"/>
          <w:sz w:val="20"/>
          <w:szCs w:val="20"/>
        </w:rPr>
      </w:pPr>
    </w:p>
    <w:p w14:paraId="6E65E052" w14:textId="227DEB47" w:rsidR="008C5669" w:rsidRPr="008C5669" w:rsidRDefault="008C5669" w:rsidP="009D4388">
      <w:pPr>
        <w:spacing w:after="0" w:line="240" w:lineRule="auto"/>
        <w:jc w:val="both"/>
        <w:rPr>
          <w:rFonts w:ascii="Times New Roman" w:hAnsi="Times New Roman" w:cs="Times New Roman"/>
          <w:b/>
          <w:sz w:val="20"/>
          <w:szCs w:val="20"/>
        </w:rPr>
      </w:pPr>
      <w:r w:rsidRPr="008C5669">
        <w:rPr>
          <w:rFonts w:ascii="Times New Roman" w:hAnsi="Times New Roman" w:cs="Times New Roman"/>
          <w:b/>
          <w:sz w:val="20"/>
          <w:szCs w:val="20"/>
        </w:rPr>
        <w:t>RELATED PARTY TRANSACTIONS</w:t>
      </w:r>
    </w:p>
    <w:p w14:paraId="7E336760" w14:textId="77777777" w:rsidR="008C5669" w:rsidRDefault="008C5669" w:rsidP="009D4388">
      <w:pPr>
        <w:spacing w:after="0" w:line="240" w:lineRule="auto"/>
        <w:jc w:val="both"/>
        <w:rPr>
          <w:rFonts w:ascii="Times New Roman" w:hAnsi="Times New Roman" w:cs="Times New Roman"/>
          <w:b/>
          <w:sz w:val="20"/>
          <w:szCs w:val="20"/>
        </w:rPr>
      </w:pPr>
    </w:p>
    <w:p w14:paraId="17F07B47" w14:textId="77777777" w:rsidR="004A1147" w:rsidRPr="004A1147" w:rsidRDefault="004A1147" w:rsidP="004A1147">
      <w:pPr>
        <w:spacing w:after="0" w:line="240" w:lineRule="auto"/>
        <w:jc w:val="both"/>
        <w:rPr>
          <w:rFonts w:ascii="Times New Roman" w:hAnsi="Times New Roman" w:cs="Times New Roman"/>
          <w:sz w:val="20"/>
          <w:szCs w:val="20"/>
        </w:rPr>
      </w:pPr>
      <w:bookmarkStart w:id="9" w:name="_Hlk72150336"/>
      <w:r w:rsidRPr="004A1147">
        <w:rPr>
          <w:rFonts w:ascii="Times New Roman" w:hAnsi="Times New Roman" w:cs="Times New Roman"/>
          <w:sz w:val="20"/>
          <w:szCs w:val="20"/>
        </w:rPr>
        <w:t xml:space="preserve">Related parties of the Company include key management personnel, companies controlled by key management personnel and close family members of key management personnel.  Key management personnel are persons having authority and responsibility for planning, </w:t>
      </w:r>
      <w:proofErr w:type="gramStart"/>
      <w:r w:rsidRPr="004A1147">
        <w:rPr>
          <w:rFonts w:ascii="Times New Roman" w:hAnsi="Times New Roman" w:cs="Times New Roman"/>
          <w:sz w:val="20"/>
          <w:szCs w:val="20"/>
        </w:rPr>
        <w:t>directing</w:t>
      </w:r>
      <w:proofErr w:type="gramEnd"/>
      <w:r w:rsidRPr="004A1147">
        <w:rPr>
          <w:rFonts w:ascii="Times New Roman" w:hAnsi="Times New Roman" w:cs="Times New Roman"/>
          <w:sz w:val="20"/>
          <w:szCs w:val="20"/>
        </w:rPr>
        <w:t xml:space="preserve"> and controlling the activities of the Company, directly or indirectly, including any directors (whether executive or otherwise) of the Company.  Key management personnel are composed of the board of directors and executive leadership team.</w:t>
      </w:r>
    </w:p>
    <w:p w14:paraId="7FB61699" w14:textId="77777777" w:rsidR="004A1147" w:rsidRPr="004A1147" w:rsidRDefault="004A1147" w:rsidP="004A1147">
      <w:pPr>
        <w:spacing w:after="0" w:line="240" w:lineRule="auto"/>
        <w:jc w:val="both"/>
        <w:rPr>
          <w:rFonts w:ascii="Times New Roman" w:hAnsi="Times New Roman" w:cs="Times New Roman"/>
          <w:sz w:val="20"/>
          <w:szCs w:val="20"/>
        </w:rPr>
      </w:pPr>
    </w:p>
    <w:p w14:paraId="078DFA8D" w14:textId="77777777" w:rsidR="004A1147" w:rsidRPr="004A1147" w:rsidRDefault="004A1147" w:rsidP="004A1147">
      <w:pPr>
        <w:spacing w:after="0" w:line="240" w:lineRule="auto"/>
        <w:jc w:val="both"/>
        <w:rPr>
          <w:rFonts w:ascii="Times New Roman" w:hAnsi="Times New Roman" w:cs="Times New Roman"/>
          <w:b/>
          <w:bCs/>
          <w:sz w:val="20"/>
          <w:szCs w:val="20"/>
        </w:rPr>
      </w:pPr>
      <w:r w:rsidRPr="004A1147">
        <w:rPr>
          <w:rFonts w:ascii="Times New Roman" w:hAnsi="Times New Roman" w:cs="Times New Roman"/>
          <w:b/>
          <w:bCs/>
          <w:sz w:val="20"/>
          <w:szCs w:val="20"/>
        </w:rPr>
        <w:t xml:space="preserve">Compensation </w:t>
      </w:r>
    </w:p>
    <w:p w14:paraId="6CD19636" w14:textId="77777777" w:rsidR="004A1147" w:rsidRPr="004A1147" w:rsidRDefault="004A1147" w:rsidP="004A1147">
      <w:pPr>
        <w:spacing w:after="0" w:line="240" w:lineRule="auto"/>
        <w:jc w:val="both"/>
        <w:rPr>
          <w:rFonts w:ascii="Times New Roman" w:hAnsi="Times New Roman" w:cs="Times New Roman"/>
          <w:sz w:val="20"/>
          <w:szCs w:val="20"/>
        </w:rPr>
      </w:pPr>
    </w:p>
    <w:p w14:paraId="3F7C8F27" w14:textId="5464FDBA" w:rsidR="004A1147" w:rsidRPr="004A1147" w:rsidRDefault="004A1147" w:rsidP="004A1147">
      <w:pPr>
        <w:spacing w:after="0" w:line="240" w:lineRule="auto"/>
        <w:jc w:val="both"/>
        <w:rPr>
          <w:rFonts w:ascii="Times New Roman" w:hAnsi="Times New Roman" w:cs="Times New Roman"/>
          <w:sz w:val="20"/>
          <w:szCs w:val="20"/>
        </w:rPr>
      </w:pPr>
      <w:r w:rsidRPr="004A1147">
        <w:rPr>
          <w:rFonts w:ascii="Times New Roman" w:hAnsi="Times New Roman" w:cs="Times New Roman"/>
          <w:sz w:val="20"/>
          <w:szCs w:val="20"/>
        </w:rPr>
        <w:t xml:space="preserve">Salaries and other short-term employee benefits paid to the Company’s key management </w:t>
      </w:r>
      <w:r w:rsidRPr="00093EB8">
        <w:rPr>
          <w:rFonts w:ascii="Times New Roman" w:hAnsi="Times New Roman" w:cs="Times New Roman"/>
          <w:sz w:val="20"/>
          <w:szCs w:val="20"/>
        </w:rPr>
        <w:t xml:space="preserve">personnel were </w:t>
      </w:r>
      <w:r w:rsidR="007E18F3" w:rsidRPr="007E18F3">
        <w:rPr>
          <w:rFonts w:ascii="Times New Roman" w:hAnsi="Times New Roman" w:cs="Times New Roman"/>
          <w:sz w:val="20"/>
          <w:szCs w:val="20"/>
        </w:rPr>
        <w:t>$34,005 and $73,849 for the three and six months ended June 30, 2021 (2020 - $nil and $nil)</w:t>
      </w:r>
      <w:r w:rsidRPr="004A1147">
        <w:rPr>
          <w:rFonts w:ascii="Times New Roman" w:hAnsi="Times New Roman" w:cs="Times New Roman"/>
          <w:sz w:val="20"/>
          <w:szCs w:val="20"/>
        </w:rPr>
        <w:t>.</w:t>
      </w:r>
    </w:p>
    <w:p w14:paraId="505E00A6" w14:textId="77777777" w:rsidR="00B65CAE" w:rsidRPr="004A1147" w:rsidRDefault="00B65CAE" w:rsidP="004A1147">
      <w:pPr>
        <w:spacing w:after="0" w:line="240" w:lineRule="auto"/>
        <w:jc w:val="both"/>
        <w:rPr>
          <w:rFonts w:ascii="Times New Roman" w:hAnsi="Times New Roman" w:cs="Times New Roman"/>
          <w:sz w:val="20"/>
          <w:szCs w:val="20"/>
        </w:rPr>
      </w:pPr>
    </w:p>
    <w:bookmarkEnd w:id="9"/>
    <w:p w14:paraId="715533FA" w14:textId="77777777" w:rsidR="00093EB8" w:rsidRPr="00093EB8" w:rsidRDefault="00093EB8" w:rsidP="00093EB8">
      <w:pPr>
        <w:spacing w:after="0" w:line="240" w:lineRule="auto"/>
        <w:jc w:val="both"/>
        <w:rPr>
          <w:rFonts w:ascii="Times New Roman" w:hAnsi="Times New Roman" w:cs="Times New Roman"/>
          <w:b/>
          <w:bCs/>
          <w:sz w:val="20"/>
          <w:szCs w:val="20"/>
        </w:rPr>
      </w:pPr>
      <w:r w:rsidRPr="00093EB8">
        <w:rPr>
          <w:rFonts w:ascii="Times New Roman" w:hAnsi="Times New Roman" w:cs="Times New Roman"/>
          <w:b/>
          <w:bCs/>
          <w:sz w:val="20"/>
          <w:szCs w:val="20"/>
        </w:rPr>
        <w:t xml:space="preserve">Consulting fees </w:t>
      </w:r>
    </w:p>
    <w:p w14:paraId="6CB7E2E5" w14:textId="77777777" w:rsidR="00093EB8" w:rsidRPr="00093EB8" w:rsidRDefault="00093EB8" w:rsidP="00093EB8">
      <w:pPr>
        <w:spacing w:after="0" w:line="240" w:lineRule="auto"/>
        <w:jc w:val="both"/>
        <w:rPr>
          <w:rFonts w:ascii="Times New Roman" w:hAnsi="Times New Roman" w:cs="Times New Roman"/>
          <w:sz w:val="20"/>
          <w:szCs w:val="20"/>
        </w:rPr>
      </w:pPr>
    </w:p>
    <w:p w14:paraId="65886CBE" w14:textId="530A9ED2" w:rsidR="00093EB8" w:rsidRPr="00093EB8" w:rsidRDefault="00093EB8" w:rsidP="00093EB8">
      <w:pPr>
        <w:spacing w:after="0" w:line="240" w:lineRule="auto"/>
        <w:jc w:val="both"/>
        <w:rPr>
          <w:rFonts w:ascii="Times New Roman" w:hAnsi="Times New Roman" w:cs="Times New Roman"/>
          <w:sz w:val="20"/>
          <w:szCs w:val="20"/>
        </w:rPr>
      </w:pPr>
      <w:r w:rsidRPr="00093EB8">
        <w:rPr>
          <w:rFonts w:ascii="Times New Roman" w:hAnsi="Times New Roman" w:cs="Times New Roman"/>
          <w:sz w:val="20"/>
          <w:szCs w:val="20"/>
        </w:rPr>
        <w:t xml:space="preserve">Consulting fees paid to the Company’s key management personnel and companies controlled by current and former key management personnel were </w:t>
      </w:r>
      <w:r w:rsidR="007E18F3" w:rsidRPr="007E18F3">
        <w:rPr>
          <w:rFonts w:ascii="Times New Roman" w:hAnsi="Times New Roman" w:cs="Times New Roman"/>
          <w:sz w:val="20"/>
          <w:szCs w:val="20"/>
        </w:rPr>
        <w:t xml:space="preserve">$34,125 and $123,900 for the three and six months ended June 30, 2021 (2020 - $96,580 and $186,486).  As </w:t>
      </w:r>
      <w:proofErr w:type="gramStart"/>
      <w:r w:rsidR="007E18F3" w:rsidRPr="007E18F3">
        <w:rPr>
          <w:rFonts w:ascii="Times New Roman" w:hAnsi="Times New Roman" w:cs="Times New Roman"/>
          <w:sz w:val="20"/>
          <w:szCs w:val="20"/>
        </w:rPr>
        <w:t>at</w:t>
      </w:r>
      <w:proofErr w:type="gramEnd"/>
      <w:r w:rsidR="007E18F3" w:rsidRPr="007E18F3">
        <w:rPr>
          <w:rFonts w:ascii="Times New Roman" w:hAnsi="Times New Roman" w:cs="Times New Roman"/>
          <w:sz w:val="20"/>
          <w:szCs w:val="20"/>
        </w:rPr>
        <w:t xml:space="preserve"> June 30, 2021, accounts payable and accrued liabilities included $6,800 (December 31, 2020 - $17,510) owing to key management personnel and companies controlled by key management personnel</w:t>
      </w:r>
      <w:r w:rsidRPr="00093EB8">
        <w:rPr>
          <w:rFonts w:ascii="Times New Roman" w:hAnsi="Times New Roman" w:cs="Times New Roman"/>
          <w:sz w:val="20"/>
          <w:szCs w:val="20"/>
        </w:rPr>
        <w:t>.</w:t>
      </w:r>
    </w:p>
    <w:p w14:paraId="7A54D08E" w14:textId="77777777" w:rsidR="00093EB8" w:rsidRDefault="00093EB8" w:rsidP="00093EB8">
      <w:pPr>
        <w:spacing w:after="0" w:line="240" w:lineRule="auto"/>
        <w:jc w:val="both"/>
        <w:rPr>
          <w:rFonts w:ascii="Times New Roman" w:hAnsi="Times New Roman" w:cs="Times New Roman"/>
          <w:b/>
          <w:bCs/>
          <w:sz w:val="20"/>
          <w:szCs w:val="20"/>
        </w:rPr>
      </w:pPr>
    </w:p>
    <w:p w14:paraId="1F8BC214" w14:textId="5AE0BA38" w:rsidR="00093EB8" w:rsidRPr="00093EB8" w:rsidRDefault="00093EB8" w:rsidP="00093EB8">
      <w:pPr>
        <w:spacing w:after="0" w:line="240" w:lineRule="auto"/>
        <w:jc w:val="both"/>
        <w:rPr>
          <w:rFonts w:ascii="Times New Roman" w:hAnsi="Times New Roman" w:cs="Times New Roman"/>
          <w:b/>
          <w:bCs/>
          <w:sz w:val="20"/>
          <w:szCs w:val="20"/>
        </w:rPr>
      </w:pPr>
      <w:r w:rsidRPr="00093EB8">
        <w:rPr>
          <w:rFonts w:ascii="Times New Roman" w:hAnsi="Times New Roman" w:cs="Times New Roman"/>
          <w:b/>
          <w:bCs/>
          <w:sz w:val="20"/>
          <w:szCs w:val="20"/>
        </w:rPr>
        <w:t>Share purchase option plan</w:t>
      </w:r>
    </w:p>
    <w:p w14:paraId="4FA14A1D" w14:textId="77777777" w:rsidR="00093EB8" w:rsidRPr="00093EB8" w:rsidRDefault="00093EB8" w:rsidP="00093EB8">
      <w:pPr>
        <w:spacing w:after="0" w:line="240" w:lineRule="auto"/>
        <w:jc w:val="both"/>
        <w:rPr>
          <w:rFonts w:ascii="Times New Roman" w:hAnsi="Times New Roman" w:cs="Times New Roman"/>
          <w:sz w:val="20"/>
          <w:szCs w:val="20"/>
        </w:rPr>
      </w:pPr>
    </w:p>
    <w:p w14:paraId="79A513FF" w14:textId="597BB56E" w:rsidR="00093EB8" w:rsidRPr="00093EB8" w:rsidRDefault="00093EB8" w:rsidP="00093EB8">
      <w:pPr>
        <w:spacing w:after="0" w:line="240" w:lineRule="auto"/>
        <w:jc w:val="both"/>
        <w:rPr>
          <w:rFonts w:ascii="Times New Roman" w:hAnsi="Times New Roman" w:cs="Times New Roman"/>
          <w:sz w:val="20"/>
          <w:szCs w:val="20"/>
        </w:rPr>
      </w:pPr>
      <w:r w:rsidRPr="00093EB8">
        <w:rPr>
          <w:rFonts w:ascii="Times New Roman" w:hAnsi="Times New Roman" w:cs="Times New Roman"/>
          <w:sz w:val="20"/>
          <w:szCs w:val="20"/>
        </w:rPr>
        <w:t xml:space="preserve">Included in the share-based payments for the </w:t>
      </w:r>
      <w:r w:rsidR="007E18F3" w:rsidRPr="007E18F3">
        <w:rPr>
          <w:rFonts w:ascii="Times New Roman" w:hAnsi="Times New Roman" w:cs="Times New Roman"/>
          <w:sz w:val="20"/>
          <w:szCs w:val="20"/>
        </w:rPr>
        <w:t xml:space="preserve">three and six months ended June 30, </w:t>
      </w:r>
      <w:proofErr w:type="gramStart"/>
      <w:r w:rsidR="007E18F3" w:rsidRPr="007E18F3">
        <w:rPr>
          <w:rFonts w:ascii="Times New Roman" w:hAnsi="Times New Roman" w:cs="Times New Roman"/>
          <w:sz w:val="20"/>
          <w:szCs w:val="20"/>
        </w:rPr>
        <w:t>2021</w:t>
      </w:r>
      <w:proofErr w:type="gramEnd"/>
      <w:r w:rsidR="007E18F3" w:rsidRPr="007E18F3">
        <w:rPr>
          <w:rFonts w:ascii="Times New Roman" w:hAnsi="Times New Roman" w:cs="Times New Roman"/>
          <w:sz w:val="20"/>
          <w:szCs w:val="20"/>
        </w:rPr>
        <w:t xml:space="preserve"> is $43,442 and $135,271 (2020 - $nil and $24,100) </w:t>
      </w:r>
      <w:r w:rsidRPr="00093EB8">
        <w:rPr>
          <w:rFonts w:ascii="Times New Roman" w:hAnsi="Times New Roman" w:cs="Times New Roman"/>
          <w:sz w:val="20"/>
          <w:szCs w:val="20"/>
        </w:rPr>
        <w:t>related to the fair value of share purchase options vested for key management personnel.</w:t>
      </w:r>
    </w:p>
    <w:p w14:paraId="09657EEA" w14:textId="77777777" w:rsidR="00B65CAE" w:rsidRPr="00093EB8" w:rsidRDefault="00B65CAE" w:rsidP="00093EB8">
      <w:pPr>
        <w:spacing w:after="0" w:line="240" w:lineRule="auto"/>
        <w:jc w:val="both"/>
        <w:rPr>
          <w:rFonts w:ascii="Times New Roman" w:hAnsi="Times New Roman" w:cs="Times New Roman"/>
          <w:sz w:val="20"/>
          <w:szCs w:val="20"/>
        </w:rPr>
      </w:pPr>
    </w:p>
    <w:p w14:paraId="1FAE9C18" w14:textId="77777777" w:rsidR="001806B0" w:rsidRDefault="001806B0">
      <w:pPr>
        <w:rPr>
          <w:rFonts w:ascii="Times New Roman" w:hAnsi="Times New Roman" w:cs="Times New Roman"/>
          <w:b/>
          <w:sz w:val="20"/>
          <w:szCs w:val="20"/>
        </w:rPr>
      </w:pPr>
      <w:r>
        <w:rPr>
          <w:rFonts w:ascii="Times New Roman" w:hAnsi="Times New Roman" w:cs="Times New Roman"/>
          <w:b/>
          <w:sz w:val="20"/>
          <w:szCs w:val="20"/>
        </w:rPr>
        <w:br w:type="page"/>
      </w:r>
    </w:p>
    <w:p w14:paraId="6D3B0BA4" w14:textId="74133394" w:rsidR="0090576A" w:rsidRDefault="008C5669" w:rsidP="00FC7420">
      <w:pPr>
        <w:spacing w:after="0" w:line="240" w:lineRule="auto"/>
        <w:rPr>
          <w:rFonts w:ascii="Times New Roman" w:hAnsi="Times New Roman" w:cs="Times New Roman"/>
          <w:b/>
          <w:sz w:val="20"/>
          <w:szCs w:val="20"/>
        </w:rPr>
      </w:pPr>
      <w:r w:rsidRPr="00DC438B">
        <w:rPr>
          <w:rFonts w:ascii="Times New Roman" w:hAnsi="Times New Roman" w:cs="Times New Roman"/>
          <w:b/>
          <w:sz w:val="20"/>
          <w:szCs w:val="20"/>
        </w:rPr>
        <w:t>OUTSTANDING SECURITY DATA</w:t>
      </w:r>
    </w:p>
    <w:p w14:paraId="3A407F73" w14:textId="77777777" w:rsidR="008C5669" w:rsidRPr="00665759" w:rsidRDefault="008C5669" w:rsidP="00FC7420">
      <w:pPr>
        <w:spacing w:after="0" w:line="240" w:lineRule="auto"/>
        <w:jc w:val="both"/>
        <w:rPr>
          <w:rFonts w:ascii="Times New Roman" w:hAnsi="Times New Roman" w:cs="Times New Roman"/>
          <w:b/>
          <w:sz w:val="20"/>
          <w:szCs w:val="20"/>
        </w:rPr>
      </w:pPr>
    </w:p>
    <w:p w14:paraId="410F6D45" w14:textId="77777777" w:rsidR="009E2275" w:rsidRPr="001D69AA" w:rsidRDefault="009E2275" w:rsidP="00FC7420">
      <w:pPr>
        <w:spacing w:after="0" w:line="240" w:lineRule="auto"/>
        <w:jc w:val="both"/>
        <w:rPr>
          <w:rFonts w:ascii="Times New Roman" w:hAnsi="Times New Roman" w:cs="Times New Roman"/>
          <w:bCs/>
          <w:i/>
          <w:iCs/>
          <w:sz w:val="20"/>
          <w:szCs w:val="20"/>
        </w:rPr>
      </w:pPr>
      <w:r w:rsidRPr="001D69AA">
        <w:rPr>
          <w:rFonts w:ascii="Times New Roman" w:hAnsi="Times New Roman" w:cs="Times New Roman"/>
          <w:bCs/>
          <w:i/>
          <w:iCs/>
          <w:sz w:val="20"/>
          <w:szCs w:val="20"/>
        </w:rPr>
        <w:t>Common Shares</w:t>
      </w:r>
    </w:p>
    <w:p w14:paraId="07DFCBB5" w14:textId="77777777" w:rsidR="009E2275" w:rsidRPr="001D69AA" w:rsidRDefault="009E2275" w:rsidP="00FC7420">
      <w:pPr>
        <w:spacing w:after="0" w:line="240" w:lineRule="auto"/>
        <w:jc w:val="both"/>
        <w:rPr>
          <w:rFonts w:ascii="Times New Roman" w:hAnsi="Times New Roman" w:cs="Times New Roman"/>
          <w:bCs/>
          <w:i/>
          <w:iCs/>
          <w:sz w:val="20"/>
          <w:szCs w:val="20"/>
        </w:rPr>
      </w:pPr>
    </w:p>
    <w:p w14:paraId="2F9697DA" w14:textId="55B0AF50" w:rsidR="009E2275" w:rsidRPr="001D4F3C" w:rsidRDefault="009E2275" w:rsidP="009E2275">
      <w:pPr>
        <w:spacing w:after="0" w:line="240" w:lineRule="auto"/>
        <w:jc w:val="both"/>
        <w:rPr>
          <w:rFonts w:ascii="Times New Roman" w:hAnsi="Times New Roman" w:cs="Times New Roman"/>
          <w:bCs/>
          <w:sz w:val="20"/>
          <w:szCs w:val="20"/>
        </w:rPr>
      </w:pPr>
      <w:r w:rsidRPr="00FC7420">
        <w:rPr>
          <w:rFonts w:ascii="Times New Roman" w:hAnsi="Times New Roman" w:cs="Times New Roman"/>
          <w:bCs/>
          <w:sz w:val="20"/>
          <w:szCs w:val="20"/>
        </w:rPr>
        <w:t xml:space="preserve">At the date of this MD&amp;A, Marble had authorized an unlimited number of common shares without par value and </w:t>
      </w:r>
      <w:r w:rsidR="005A1807" w:rsidRPr="000B364D">
        <w:rPr>
          <w:rFonts w:ascii="Times New Roman" w:hAnsi="Times New Roman" w:cs="Times New Roman"/>
          <w:bCs/>
          <w:sz w:val="20"/>
          <w:szCs w:val="20"/>
        </w:rPr>
        <w:t>77,</w:t>
      </w:r>
      <w:r w:rsidR="00212DAE" w:rsidRPr="000B364D">
        <w:rPr>
          <w:rFonts w:ascii="Times New Roman" w:hAnsi="Times New Roman" w:cs="Times New Roman"/>
          <w:bCs/>
          <w:sz w:val="20"/>
          <w:szCs w:val="20"/>
        </w:rPr>
        <w:t>254</w:t>
      </w:r>
      <w:r w:rsidR="005A1807" w:rsidRPr="000B364D">
        <w:rPr>
          <w:rFonts w:ascii="Times New Roman" w:hAnsi="Times New Roman" w:cs="Times New Roman"/>
          <w:bCs/>
          <w:sz w:val="20"/>
          <w:szCs w:val="20"/>
        </w:rPr>
        <w:t>,007</w:t>
      </w:r>
      <w:r w:rsidRPr="00EB729F">
        <w:rPr>
          <w:rFonts w:ascii="Times New Roman" w:hAnsi="Times New Roman" w:cs="Times New Roman"/>
          <w:bCs/>
          <w:sz w:val="20"/>
          <w:szCs w:val="20"/>
        </w:rPr>
        <w:t xml:space="preserve"> common shares are issued</w:t>
      </w:r>
      <w:r w:rsidRPr="00FC7420">
        <w:rPr>
          <w:rFonts w:ascii="Times New Roman" w:hAnsi="Times New Roman" w:cs="Times New Roman"/>
          <w:bCs/>
          <w:sz w:val="20"/>
          <w:szCs w:val="20"/>
        </w:rPr>
        <w:t xml:space="preserve"> and outstanding.</w:t>
      </w:r>
    </w:p>
    <w:p w14:paraId="3F4C4968" w14:textId="77777777" w:rsidR="009E2275" w:rsidRPr="001D4F3C" w:rsidRDefault="009E2275" w:rsidP="009E2275">
      <w:pPr>
        <w:spacing w:after="0" w:line="240" w:lineRule="auto"/>
        <w:jc w:val="both"/>
        <w:rPr>
          <w:rFonts w:ascii="Times New Roman" w:hAnsi="Times New Roman" w:cs="Times New Roman"/>
          <w:bCs/>
          <w:sz w:val="20"/>
          <w:szCs w:val="20"/>
        </w:rPr>
      </w:pPr>
    </w:p>
    <w:p w14:paraId="6CA8F1FF" w14:textId="77777777" w:rsidR="009E2275" w:rsidRPr="001D69AA" w:rsidRDefault="009E2275" w:rsidP="009E2275">
      <w:pPr>
        <w:spacing w:after="0" w:line="240" w:lineRule="auto"/>
        <w:jc w:val="both"/>
        <w:rPr>
          <w:rFonts w:ascii="Times New Roman" w:hAnsi="Times New Roman" w:cs="Times New Roman"/>
          <w:bCs/>
          <w:i/>
          <w:iCs/>
          <w:sz w:val="20"/>
          <w:szCs w:val="20"/>
        </w:rPr>
      </w:pPr>
      <w:r w:rsidRPr="001D69AA">
        <w:rPr>
          <w:rFonts w:ascii="Times New Roman" w:hAnsi="Times New Roman" w:cs="Times New Roman"/>
          <w:bCs/>
          <w:i/>
          <w:iCs/>
          <w:sz w:val="20"/>
          <w:szCs w:val="20"/>
        </w:rPr>
        <w:t>Non-Voting Shares</w:t>
      </w:r>
    </w:p>
    <w:p w14:paraId="2858ADF6" w14:textId="77777777" w:rsidR="009E2275" w:rsidRPr="001D4F3C" w:rsidRDefault="009E2275" w:rsidP="009E2275">
      <w:pPr>
        <w:spacing w:after="0" w:line="240" w:lineRule="auto"/>
        <w:jc w:val="both"/>
        <w:rPr>
          <w:rFonts w:ascii="Times New Roman" w:hAnsi="Times New Roman" w:cs="Times New Roman"/>
          <w:bCs/>
          <w:sz w:val="20"/>
          <w:szCs w:val="20"/>
        </w:rPr>
      </w:pPr>
    </w:p>
    <w:p w14:paraId="6D16869D" w14:textId="77777777" w:rsidR="009E2275" w:rsidRPr="001D4F3C" w:rsidRDefault="009E2275" w:rsidP="009E2275">
      <w:pPr>
        <w:spacing w:after="0" w:line="240" w:lineRule="auto"/>
        <w:jc w:val="both"/>
        <w:rPr>
          <w:rFonts w:ascii="Times New Roman" w:hAnsi="Times New Roman" w:cs="Times New Roman"/>
          <w:bCs/>
          <w:sz w:val="20"/>
          <w:szCs w:val="20"/>
        </w:rPr>
      </w:pPr>
      <w:r w:rsidRPr="001D69AA">
        <w:rPr>
          <w:rFonts w:ascii="Times New Roman" w:hAnsi="Times New Roman" w:cs="Times New Roman"/>
          <w:bCs/>
          <w:sz w:val="20"/>
          <w:szCs w:val="20"/>
        </w:rPr>
        <w:t>At the date of this MD&amp;A, Marble had authorized an unlimited number of non-voting shares without par value</w:t>
      </w:r>
      <w:r w:rsidRPr="001D4F3C">
        <w:rPr>
          <w:rFonts w:ascii="Times New Roman" w:hAnsi="Times New Roman" w:cs="Times New Roman"/>
          <w:bCs/>
          <w:sz w:val="20"/>
          <w:szCs w:val="20"/>
        </w:rPr>
        <w:t>. There are no non-voting shares issued and outstanding.</w:t>
      </w:r>
    </w:p>
    <w:p w14:paraId="1437237C" w14:textId="77777777" w:rsidR="009E2275" w:rsidRPr="001D4F3C" w:rsidRDefault="009E2275" w:rsidP="009E2275">
      <w:pPr>
        <w:spacing w:after="0" w:line="240" w:lineRule="auto"/>
        <w:jc w:val="both"/>
        <w:rPr>
          <w:rFonts w:ascii="Times New Roman" w:hAnsi="Times New Roman" w:cs="Times New Roman"/>
          <w:bCs/>
          <w:sz w:val="20"/>
          <w:szCs w:val="20"/>
        </w:rPr>
      </w:pPr>
    </w:p>
    <w:p w14:paraId="2258F5A2" w14:textId="77777777" w:rsidR="009E2275" w:rsidRPr="001D69AA" w:rsidRDefault="009E2275" w:rsidP="009E2275">
      <w:pPr>
        <w:spacing w:after="0" w:line="240" w:lineRule="auto"/>
        <w:jc w:val="both"/>
        <w:rPr>
          <w:rFonts w:ascii="Times New Roman" w:hAnsi="Times New Roman" w:cs="Times New Roman"/>
          <w:bCs/>
          <w:i/>
          <w:iCs/>
          <w:sz w:val="20"/>
          <w:szCs w:val="20"/>
        </w:rPr>
      </w:pPr>
      <w:r w:rsidRPr="001D69AA">
        <w:rPr>
          <w:rFonts w:ascii="Times New Roman" w:hAnsi="Times New Roman" w:cs="Times New Roman"/>
          <w:bCs/>
          <w:i/>
          <w:iCs/>
          <w:sz w:val="20"/>
          <w:szCs w:val="20"/>
        </w:rPr>
        <w:t>Special Shares</w:t>
      </w:r>
    </w:p>
    <w:p w14:paraId="49D41A6C" w14:textId="77777777" w:rsidR="009E2275" w:rsidRPr="001D4F3C" w:rsidRDefault="009E2275" w:rsidP="009E2275">
      <w:pPr>
        <w:spacing w:after="0" w:line="240" w:lineRule="auto"/>
        <w:jc w:val="both"/>
        <w:rPr>
          <w:rFonts w:ascii="Times New Roman" w:hAnsi="Times New Roman" w:cs="Times New Roman"/>
          <w:bCs/>
          <w:sz w:val="20"/>
          <w:szCs w:val="20"/>
        </w:rPr>
      </w:pPr>
    </w:p>
    <w:p w14:paraId="69068184" w14:textId="77777777" w:rsidR="009E2275" w:rsidRDefault="009E2275" w:rsidP="009E2275">
      <w:pPr>
        <w:spacing w:after="0" w:line="240" w:lineRule="auto"/>
        <w:jc w:val="both"/>
        <w:rPr>
          <w:rFonts w:ascii="Times New Roman" w:hAnsi="Times New Roman" w:cs="Times New Roman"/>
          <w:bCs/>
          <w:sz w:val="20"/>
          <w:szCs w:val="20"/>
        </w:rPr>
      </w:pPr>
      <w:r w:rsidRPr="001D69AA">
        <w:rPr>
          <w:rFonts w:ascii="Times New Roman" w:hAnsi="Times New Roman" w:cs="Times New Roman"/>
          <w:bCs/>
          <w:sz w:val="20"/>
          <w:szCs w:val="20"/>
        </w:rPr>
        <w:t>At the date of this MD&amp;A, Marble had authorized an unlimited number of special shares without par value</w:t>
      </w:r>
      <w:r w:rsidRPr="001D4F3C">
        <w:rPr>
          <w:rFonts w:ascii="Times New Roman" w:hAnsi="Times New Roman" w:cs="Times New Roman"/>
          <w:bCs/>
          <w:sz w:val="20"/>
          <w:szCs w:val="20"/>
        </w:rPr>
        <w:t>. There are no special shares issued and outstanding.</w:t>
      </w:r>
    </w:p>
    <w:p w14:paraId="7BC2ABBA" w14:textId="7642F1E2" w:rsidR="00D840E0" w:rsidRDefault="00D840E0" w:rsidP="009D4388">
      <w:pPr>
        <w:spacing w:after="0" w:line="240" w:lineRule="auto"/>
        <w:jc w:val="both"/>
        <w:rPr>
          <w:rFonts w:ascii="Times New Roman" w:hAnsi="Times New Roman" w:cs="Times New Roman"/>
          <w:bCs/>
          <w:sz w:val="20"/>
          <w:szCs w:val="20"/>
        </w:rPr>
      </w:pPr>
    </w:p>
    <w:p w14:paraId="131EDCD1" w14:textId="4A8C37DF" w:rsidR="009E2275" w:rsidRPr="001D69AA" w:rsidRDefault="009E2275" w:rsidP="009E2275">
      <w:pPr>
        <w:spacing w:after="0" w:line="240" w:lineRule="auto"/>
        <w:jc w:val="both"/>
        <w:rPr>
          <w:rFonts w:ascii="Times New Roman" w:hAnsi="Times New Roman" w:cs="Times New Roman"/>
          <w:bCs/>
          <w:sz w:val="20"/>
          <w:szCs w:val="20"/>
        </w:rPr>
      </w:pPr>
      <w:r w:rsidRPr="001D69AA">
        <w:rPr>
          <w:rFonts w:ascii="Times New Roman" w:hAnsi="Times New Roman" w:cs="Times New Roman"/>
          <w:bCs/>
          <w:i/>
          <w:iCs/>
          <w:sz w:val="20"/>
          <w:szCs w:val="20"/>
        </w:rPr>
        <w:t>Warrants</w:t>
      </w:r>
    </w:p>
    <w:p w14:paraId="2209EAE3" w14:textId="77777777" w:rsidR="009E2275" w:rsidRPr="001D69AA" w:rsidRDefault="009E2275" w:rsidP="009E2275">
      <w:pPr>
        <w:spacing w:after="0" w:line="240" w:lineRule="auto"/>
        <w:jc w:val="both"/>
        <w:rPr>
          <w:rFonts w:ascii="Times New Roman" w:hAnsi="Times New Roman" w:cs="Times New Roman"/>
          <w:bCs/>
          <w:sz w:val="20"/>
          <w:szCs w:val="20"/>
        </w:rPr>
      </w:pPr>
    </w:p>
    <w:p w14:paraId="7184B957" w14:textId="77777777" w:rsidR="009E2275" w:rsidRPr="001D69AA" w:rsidRDefault="009E2275" w:rsidP="009E2275">
      <w:pPr>
        <w:spacing w:after="0" w:line="240" w:lineRule="auto"/>
        <w:jc w:val="both"/>
        <w:rPr>
          <w:rFonts w:ascii="Times New Roman" w:hAnsi="Times New Roman" w:cs="Times New Roman"/>
          <w:bCs/>
          <w:sz w:val="20"/>
          <w:szCs w:val="20"/>
        </w:rPr>
      </w:pPr>
      <w:r w:rsidRPr="001D69AA">
        <w:rPr>
          <w:rFonts w:ascii="Times New Roman" w:hAnsi="Times New Roman" w:cs="Times New Roman"/>
          <w:bCs/>
          <w:sz w:val="20"/>
          <w:szCs w:val="20"/>
        </w:rPr>
        <w:t xml:space="preserve">A summary of Marble’s issued and outstanding warrants at the date of this MD&amp;A is as follows: </w:t>
      </w:r>
    </w:p>
    <w:p w14:paraId="0BC72543" w14:textId="77777777" w:rsidR="009E2275" w:rsidRPr="001D69AA" w:rsidRDefault="009E2275" w:rsidP="009E2275">
      <w:pPr>
        <w:spacing w:after="0" w:line="240" w:lineRule="auto"/>
        <w:jc w:val="both"/>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701"/>
        <w:gridCol w:w="1701"/>
      </w:tblGrid>
      <w:tr w:rsidR="009E2275" w:rsidRPr="00093EB8" w14:paraId="6F9C8C02" w14:textId="77777777" w:rsidTr="00C42020">
        <w:tc>
          <w:tcPr>
            <w:tcW w:w="5812" w:type="dxa"/>
            <w:tcBorders>
              <w:top w:val="double" w:sz="4" w:space="0" w:color="auto"/>
              <w:bottom w:val="single" w:sz="4" w:space="0" w:color="auto"/>
            </w:tcBorders>
          </w:tcPr>
          <w:p w14:paraId="71ED291E" w14:textId="77777777" w:rsidR="009E2275" w:rsidRPr="001D69AA" w:rsidRDefault="009E2275" w:rsidP="00C42020">
            <w:pPr>
              <w:rPr>
                <w:rFonts w:ascii="Times New Roman" w:hAnsi="Times New Roman" w:cs="Times New Roman"/>
                <w:b/>
                <w:bCs/>
                <w:sz w:val="20"/>
                <w:szCs w:val="20"/>
              </w:rPr>
            </w:pPr>
            <w:bookmarkStart w:id="10" w:name="_Hlk65581071"/>
          </w:p>
          <w:p w14:paraId="324F636D"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b/>
                <w:bCs/>
                <w:sz w:val="20"/>
                <w:szCs w:val="20"/>
              </w:rPr>
              <w:t>Expiry Date</w:t>
            </w:r>
          </w:p>
        </w:tc>
        <w:tc>
          <w:tcPr>
            <w:tcW w:w="1701" w:type="dxa"/>
            <w:tcBorders>
              <w:top w:val="double" w:sz="4" w:space="0" w:color="auto"/>
              <w:bottom w:val="single" w:sz="4" w:space="0" w:color="auto"/>
            </w:tcBorders>
          </w:tcPr>
          <w:p w14:paraId="2AA62C6F" w14:textId="77777777" w:rsidR="009E2275" w:rsidRPr="00093EB8" w:rsidRDefault="009E2275" w:rsidP="00C42020">
            <w:pPr>
              <w:tabs>
                <w:tab w:val="decimal" w:pos="1202"/>
              </w:tabs>
              <w:rPr>
                <w:rFonts w:ascii="Times New Roman" w:hAnsi="Times New Roman" w:cs="Times New Roman"/>
                <w:b/>
                <w:bCs/>
                <w:sz w:val="20"/>
                <w:szCs w:val="20"/>
              </w:rPr>
            </w:pPr>
          </w:p>
          <w:p w14:paraId="44035E03" w14:textId="77777777" w:rsidR="009E2275" w:rsidRPr="00093EB8" w:rsidRDefault="009E2275" w:rsidP="00C42020">
            <w:pPr>
              <w:tabs>
                <w:tab w:val="decimal" w:pos="1202"/>
              </w:tabs>
              <w:rPr>
                <w:rFonts w:ascii="Times New Roman" w:hAnsi="Times New Roman" w:cs="Times New Roman"/>
                <w:b/>
                <w:bCs/>
                <w:sz w:val="20"/>
                <w:szCs w:val="20"/>
              </w:rPr>
            </w:pPr>
            <w:r w:rsidRPr="00093EB8">
              <w:rPr>
                <w:rFonts w:ascii="Times New Roman" w:hAnsi="Times New Roman" w:cs="Times New Roman"/>
                <w:b/>
                <w:bCs/>
                <w:sz w:val="20"/>
                <w:szCs w:val="20"/>
              </w:rPr>
              <w:t>Exercise Price</w:t>
            </w:r>
          </w:p>
        </w:tc>
        <w:tc>
          <w:tcPr>
            <w:tcW w:w="1701" w:type="dxa"/>
            <w:tcBorders>
              <w:top w:val="double" w:sz="4" w:space="0" w:color="auto"/>
              <w:bottom w:val="single" w:sz="4" w:space="0" w:color="auto"/>
            </w:tcBorders>
          </w:tcPr>
          <w:p w14:paraId="503A8210" w14:textId="77777777" w:rsidR="009E2275" w:rsidRPr="00093EB8" w:rsidRDefault="009E2275" w:rsidP="00C42020">
            <w:pPr>
              <w:tabs>
                <w:tab w:val="decimal" w:pos="1202"/>
              </w:tabs>
              <w:rPr>
                <w:rFonts w:ascii="Times New Roman" w:hAnsi="Times New Roman" w:cs="Times New Roman"/>
                <w:b/>
                <w:bCs/>
                <w:sz w:val="20"/>
                <w:szCs w:val="20"/>
              </w:rPr>
            </w:pPr>
            <w:r w:rsidRPr="00093EB8">
              <w:rPr>
                <w:rFonts w:ascii="Times New Roman" w:hAnsi="Times New Roman" w:cs="Times New Roman"/>
                <w:b/>
                <w:bCs/>
                <w:sz w:val="20"/>
                <w:szCs w:val="20"/>
              </w:rPr>
              <w:t>Number Outstanding</w:t>
            </w:r>
          </w:p>
        </w:tc>
      </w:tr>
      <w:tr w:rsidR="009E2275" w:rsidRPr="00093EB8" w14:paraId="2A9A5855" w14:textId="77777777" w:rsidTr="00C42020">
        <w:tc>
          <w:tcPr>
            <w:tcW w:w="5812" w:type="dxa"/>
            <w:tcBorders>
              <w:top w:val="single" w:sz="4" w:space="0" w:color="auto"/>
            </w:tcBorders>
          </w:tcPr>
          <w:p w14:paraId="63B40DA7" w14:textId="77777777" w:rsidR="009E2275" w:rsidRPr="00093EB8" w:rsidRDefault="009E2275" w:rsidP="00C42020">
            <w:pPr>
              <w:rPr>
                <w:rFonts w:ascii="Times New Roman" w:hAnsi="Times New Roman" w:cs="Times New Roman"/>
                <w:sz w:val="20"/>
                <w:szCs w:val="20"/>
              </w:rPr>
            </w:pPr>
            <w:bookmarkStart w:id="11" w:name="_Hlk65581037"/>
            <w:r w:rsidRPr="00093EB8">
              <w:rPr>
                <w:rFonts w:ascii="Times New Roman" w:hAnsi="Times New Roman" w:cs="Times New Roman"/>
                <w:sz w:val="20"/>
                <w:szCs w:val="20"/>
              </w:rPr>
              <w:t>October 22, 2022</w:t>
            </w:r>
          </w:p>
        </w:tc>
        <w:tc>
          <w:tcPr>
            <w:tcW w:w="1701" w:type="dxa"/>
            <w:tcBorders>
              <w:top w:val="single" w:sz="4" w:space="0" w:color="auto"/>
            </w:tcBorders>
          </w:tcPr>
          <w:p w14:paraId="0D7CB349"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0.25</w:t>
            </w:r>
          </w:p>
        </w:tc>
        <w:tc>
          <w:tcPr>
            <w:tcW w:w="1701" w:type="dxa"/>
            <w:tcBorders>
              <w:top w:val="single" w:sz="4" w:space="0" w:color="auto"/>
            </w:tcBorders>
          </w:tcPr>
          <w:p w14:paraId="03F6B56A"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1,886,234</w:t>
            </w:r>
          </w:p>
        </w:tc>
      </w:tr>
      <w:tr w:rsidR="009E2275" w:rsidRPr="00093EB8" w14:paraId="7626BAF1" w14:textId="77777777" w:rsidTr="00C42020">
        <w:tc>
          <w:tcPr>
            <w:tcW w:w="5812" w:type="dxa"/>
          </w:tcPr>
          <w:p w14:paraId="7E3B90E3"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December 7, 2022</w:t>
            </w:r>
          </w:p>
        </w:tc>
        <w:tc>
          <w:tcPr>
            <w:tcW w:w="1701" w:type="dxa"/>
          </w:tcPr>
          <w:p w14:paraId="4E3256C4"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0.25</w:t>
            </w:r>
          </w:p>
        </w:tc>
        <w:tc>
          <w:tcPr>
            <w:tcW w:w="1701" w:type="dxa"/>
          </w:tcPr>
          <w:p w14:paraId="7C37723E"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1,723,500</w:t>
            </w:r>
          </w:p>
        </w:tc>
      </w:tr>
      <w:tr w:rsidR="009E2275" w:rsidRPr="00093EB8" w14:paraId="27E98E79" w14:textId="77777777" w:rsidTr="00C42020">
        <w:tc>
          <w:tcPr>
            <w:tcW w:w="5812" w:type="dxa"/>
          </w:tcPr>
          <w:p w14:paraId="46DEAAA8"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December 23, 2022</w:t>
            </w:r>
          </w:p>
        </w:tc>
        <w:tc>
          <w:tcPr>
            <w:tcW w:w="1701" w:type="dxa"/>
          </w:tcPr>
          <w:p w14:paraId="6745D9A7"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0.25</w:t>
            </w:r>
          </w:p>
        </w:tc>
        <w:tc>
          <w:tcPr>
            <w:tcW w:w="1701" w:type="dxa"/>
          </w:tcPr>
          <w:p w14:paraId="7DBBC7B6"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4,671,666</w:t>
            </w:r>
          </w:p>
        </w:tc>
      </w:tr>
      <w:tr w:rsidR="009E2275" w:rsidRPr="00093EB8" w14:paraId="3A2848D3" w14:textId="77777777" w:rsidTr="00C42020">
        <w:tc>
          <w:tcPr>
            <w:tcW w:w="5812" w:type="dxa"/>
          </w:tcPr>
          <w:p w14:paraId="460B8D73"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February 2, 2022</w:t>
            </w:r>
          </w:p>
        </w:tc>
        <w:tc>
          <w:tcPr>
            <w:tcW w:w="1701" w:type="dxa"/>
          </w:tcPr>
          <w:p w14:paraId="443E5848"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0.35</w:t>
            </w:r>
          </w:p>
        </w:tc>
        <w:tc>
          <w:tcPr>
            <w:tcW w:w="1701" w:type="dxa"/>
          </w:tcPr>
          <w:p w14:paraId="26CDA464" w14:textId="70D68732" w:rsidR="009E2275" w:rsidRPr="00093EB8" w:rsidRDefault="009E2275" w:rsidP="00C42020">
            <w:pPr>
              <w:tabs>
                <w:tab w:val="left" w:pos="0"/>
                <w:tab w:val="decimal" w:pos="1202"/>
              </w:tabs>
              <w:jc w:val="center"/>
              <w:rPr>
                <w:rFonts w:ascii="Times New Roman" w:hAnsi="Times New Roman" w:cs="Times New Roman"/>
                <w:sz w:val="20"/>
                <w:szCs w:val="20"/>
              </w:rPr>
            </w:pPr>
            <w:r w:rsidRPr="00093EB8">
              <w:rPr>
                <w:rFonts w:ascii="Times New Roman" w:hAnsi="Times New Roman" w:cs="Times New Roman"/>
                <w:sz w:val="20"/>
                <w:szCs w:val="20"/>
              </w:rPr>
              <w:t xml:space="preserve">  </w:t>
            </w:r>
            <w:r w:rsidR="00212DAE">
              <w:rPr>
                <w:rFonts w:ascii="Times New Roman" w:hAnsi="Times New Roman" w:cs="Times New Roman"/>
                <w:sz w:val="20"/>
                <w:szCs w:val="20"/>
              </w:rPr>
              <w:t>800</w:t>
            </w:r>
            <w:r w:rsidRPr="00093EB8">
              <w:rPr>
                <w:rFonts w:ascii="Times New Roman" w:hAnsi="Times New Roman" w:cs="Times New Roman"/>
                <w:sz w:val="20"/>
                <w:szCs w:val="20"/>
              </w:rPr>
              <w:t>,000</w:t>
            </w:r>
          </w:p>
        </w:tc>
      </w:tr>
      <w:tr w:rsidR="009E2275" w:rsidRPr="00093EB8" w14:paraId="3B53E99A" w14:textId="77777777" w:rsidTr="00C42020">
        <w:tc>
          <w:tcPr>
            <w:tcW w:w="5812" w:type="dxa"/>
          </w:tcPr>
          <w:p w14:paraId="367E9ED8"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March 25, 2022</w:t>
            </w:r>
          </w:p>
        </w:tc>
        <w:tc>
          <w:tcPr>
            <w:tcW w:w="1701" w:type="dxa"/>
          </w:tcPr>
          <w:p w14:paraId="32A0964B"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0.45</w:t>
            </w:r>
          </w:p>
        </w:tc>
        <w:tc>
          <w:tcPr>
            <w:tcW w:w="1701" w:type="dxa"/>
          </w:tcPr>
          <w:p w14:paraId="55B27C35" w14:textId="77777777" w:rsidR="009E2275" w:rsidRPr="00093EB8" w:rsidRDefault="009E2275" w:rsidP="00C42020">
            <w:pPr>
              <w:tabs>
                <w:tab w:val="left" w:pos="0"/>
                <w:tab w:val="decimal" w:pos="1202"/>
              </w:tabs>
              <w:jc w:val="center"/>
              <w:rPr>
                <w:rFonts w:ascii="Times New Roman" w:hAnsi="Times New Roman" w:cs="Times New Roman"/>
                <w:sz w:val="20"/>
                <w:szCs w:val="20"/>
              </w:rPr>
            </w:pPr>
            <w:r w:rsidRPr="00093EB8">
              <w:rPr>
                <w:rFonts w:ascii="Times New Roman" w:hAnsi="Times New Roman" w:cs="Times New Roman"/>
                <w:sz w:val="20"/>
                <w:szCs w:val="20"/>
              </w:rPr>
              <w:t xml:space="preserve">  1,166,667</w:t>
            </w:r>
          </w:p>
        </w:tc>
      </w:tr>
      <w:tr w:rsidR="009E2275" w:rsidRPr="00093EB8" w14:paraId="5F815D6F" w14:textId="77777777" w:rsidTr="00C42020">
        <w:tc>
          <w:tcPr>
            <w:tcW w:w="5812" w:type="dxa"/>
          </w:tcPr>
          <w:p w14:paraId="1D358573" w14:textId="16A36F12"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 xml:space="preserve">July </w:t>
            </w:r>
            <w:r w:rsidR="0015570E" w:rsidRPr="00093EB8">
              <w:rPr>
                <w:rFonts w:ascii="Times New Roman" w:hAnsi="Times New Roman" w:cs="Times New Roman"/>
                <w:sz w:val="20"/>
                <w:szCs w:val="20"/>
              </w:rPr>
              <w:t>7</w:t>
            </w:r>
            <w:r w:rsidRPr="00093EB8">
              <w:rPr>
                <w:rFonts w:ascii="Times New Roman" w:hAnsi="Times New Roman" w:cs="Times New Roman"/>
                <w:sz w:val="20"/>
                <w:szCs w:val="20"/>
              </w:rPr>
              <w:t>, 2022</w:t>
            </w:r>
          </w:p>
        </w:tc>
        <w:tc>
          <w:tcPr>
            <w:tcW w:w="1701" w:type="dxa"/>
          </w:tcPr>
          <w:p w14:paraId="294D51B7"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0.30</w:t>
            </w:r>
          </w:p>
        </w:tc>
        <w:tc>
          <w:tcPr>
            <w:tcW w:w="1701" w:type="dxa"/>
          </w:tcPr>
          <w:p w14:paraId="16449128"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133,832</w:t>
            </w:r>
          </w:p>
        </w:tc>
      </w:tr>
      <w:tr w:rsidR="009E2275" w:rsidRPr="00EE7B83" w14:paraId="2C3B0E0C" w14:textId="77777777" w:rsidTr="00C42020">
        <w:tc>
          <w:tcPr>
            <w:tcW w:w="5812" w:type="dxa"/>
            <w:tcBorders>
              <w:top w:val="single" w:sz="4" w:space="0" w:color="auto"/>
              <w:bottom w:val="double" w:sz="4" w:space="0" w:color="auto"/>
            </w:tcBorders>
          </w:tcPr>
          <w:p w14:paraId="00EA441E" w14:textId="77777777" w:rsidR="009E2275" w:rsidRPr="00093EB8" w:rsidRDefault="009E2275" w:rsidP="00C42020">
            <w:pPr>
              <w:rPr>
                <w:rFonts w:ascii="Times New Roman" w:hAnsi="Times New Roman" w:cs="Times New Roman"/>
                <w:sz w:val="20"/>
                <w:szCs w:val="20"/>
              </w:rPr>
            </w:pPr>
          </w:p>
        </w:tc>
        <w:tc>
          <w:tcPr>
            <w:tcW w:w="1701" w:type="dxa"/>
            <w:tcBorders>
              <w:top w:val="single" w:sz="4" w:space="0" w:color="auto"/>
              <w:bottom w:val="double" w:sz="4" w:space="0" w:color="auto"/>
            </w:tcBorders>
          </w:tcPr>
          <w:p w14:paraId="3643EFBE" w14:textId="77777777" w:rsidR="009E2275" w:rsidRPr="00093EB8" w:rsidRDefault="009E2275" w:rsidP="00C42020">
            <w:pPr>
              <w:tabs>
                <w:tab w:val="left" w:pos="0"/>
                <w:tab w:val="decimal" w:pos="1202"/>
              </w:tabs>
              <w:rPr>
                <w:rFonts w:ascii="Times New Roman" w:hAnsi="Times New Roman" w:cs="Times New Roman"/>
                <w:sz w:val="20"/>
                <w:szCs w:val="20"/>
              </w:rPr>
            </w:pPr>
          </w:p>
        </w:tc>
        <w:tc>
          <w:tcPr>
            <w:tcW w:w="1701" w:type="dxa"/>
            <w:tcBorders>
              <w:top w:val="single" w:sz="4" w:space="0" w:color="auto"/>
              <w:bottom w:val="double" w:sz="4" w:space="0" w:color="auto"/>
            </w:tcBorders>
          </w:tcPr>
          <w:p w14:paraId="67511261" w14:textId="710D6DF1"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10,</w:t>
            </w:r>
            <w:r w:rsidR="00212DAE">
              <w:rPr>
                <w:rFonts w:ascii="Times New Roman" w:hAnsi="Times New Roman" w:cs="Times New Roman"/>
                <w:sz w:val="20"/>
                <w:szCs w:val="20"/>
              </w:rPr>
              <w:t>3</w:t>
            </w:r>
            <w:r w:rsidRPr="00093EB8">
              <w:rPr>
                <w:rFonts w:ascii="Times New Roman" w:hAnsi="Times New Roman" w:cs="Times New Roman"/>
                <w:sz w:val="20"/>
                <w:szCs w:val="20"/>
              </w:rPr>
              <w:t>81,899</w:t>
            </w:r>
          </w:p>
        </w:tc>
      </w:tr>
      <w:bookmarkEnd w:id="11"/>
      <w:tr w:rsidR="009E2275" w:rsidRPr="00EE7B83" w14:paraId="62C7F241" w14:textId="77777777" w:rsidTr="00C42020">
        <w:tc>
          <w:tcPr>
            <w:tcW w:w="5812" w:type="dxa"/>
            <w:tcBorders>
              <w:top w:val="double" w:sz="4" w:space="0" w:color="auto"/>
            </w:tcBorders>
          </w:tcPr>
          <w:p w14:paraId="7096B108" w14:textId="77777777" w:rsidR="009E2275" w:rsidRPr="00EE7B83" w:rsidRDefault="009E2275" w:rsidP="00C42020">
            <w:pPr>
              <w:rPr>
                <w:rFonts w:ascii="Times New Roman" w:hAnsi="Times New Roman" w:cs="Times New Roman"/>
                <w:sz w:val="20"/>
                <w:szCs w:val="20"/>
                <w:highlight w:val="yellow"/>
              </w:rPr>
            </w:pPr>
          </w:p>
        </w:tc>
        <w:tc>
          <w:tcPr>
            <w:tcW w:w="1701" w:type="dxa"/>
            <w:tcBorders>
              <w:top w:val="double" w:sz="4" w:space="0" w:color="auto"/>
            </w:tcBorders>
          </w:tcPr>
          <w:p w14:paraId="60127578" w14:textId="77777777" w:rsidR="009E2275" w:rsidRPr="00EE7B83" w:rsidRDefault="009E2275" w:rsidP="00C42020">
            <w:pPr>
              <w:tabs>
                <w:tab w:val="left" w:pos="0"/>
                <w:tab w:val="decimal" w:pos="1202"/>
              </w:tabs>
              <w:rPr>
                <w:rFonts w:ascii="Times New Roman" w:hAnsi="Times New Roman" w:cs="Times New Roman"/>
                <w:sz w:val="20"/>
                <w:szCs w:val="20"/>
                <w:highlight w:val="yellow"/>
              </w:rPr>
            </w:pPr>
          </w:p>
        </w:tc>
        <w:tc>
          <w:tcPr>
            <w:tcW w:w="1701" w:type="dxa"/>
            <w:tcBorders>
              <w:top w:val="double" w:sz="4" w:space="0" w:color="auto"/>
            </w:tcBorders>
          </w:tcPr>
          <w:p w14:paraId="3F315649" w14:textId="77777777" w:rsidR="009E2275" w:rsidRPr="00EE7B83" w:rsidRDefault="009E2275" w:rsidP="00C42020">
            <w:pPr>
              <w:tabs>
                <w:tab w:val="left" w:pos="0"/>
                <w:tab w:val="decimal" w:pos="1202"/>
              </w:tabs>
              <w:rPr>
                <w:rFonts w:ascii="Times New Roman" w:hAnsi="Times New Roman" w:cs="Times New Roman"/>
                <w:sz w:val="20"/>
                <w:szCs w:val="20"/>
                <w:highlight w:val="yellow"/>
              </w:rPr>
            </w:pPr>
          </w:p>
        </w:tc>
      </w:tr>
    </w:tbl>
    <w:bookmarkEnd w:id="10"/>
    <w:p w14:paraId="2BA5893F" w14:textId="2353228B" w:rsidR="009E2275" w:rsidRPr="00093EB8" w:rsidRDefault="009E2275" w:rsidP="003D68E7">
      <w:pPr>
        <w:rPr>
          <w:rFonts w:ascii="Times New Roman" w:hAnsi="Times New Roman" w:cs="Times New Roman"/>
          <w:bCs/>
          <w:i/>
          <w:iCs/>
          <w:sz w:val="20"/>
          <w:szCs w:val="20"/>
        </w:rPr>
      </w:pPr>
      <w:r w:rsidRPr="00093EB8">
        <w:rPr>
          <w:rFonts w:ascii="Times New Roman" w:hAnsi="Times New Roman" w:cs="Times New Roman"/>
          <w:bCs/>
          <w:i/>
          <w:iCs/>
          <w:sz w:val="20"/>
          <w:szCs w:val="20"/>
        </w:rPr>
        <w:t xml:space="preserve">Share Purchase Options </w:t>
      </w:r>
    </w:p>
    <w:p w14:paraId="7180D994" w14:textId="77777777" w:rsidR="009E2275" w:rsidRPr="00093EB8" w:rsidRDefault="009E2275" w:rsidP="009E2275">
      <w:pPr>
        <w:spacing w:after="0" w:line="240" w:lineRule="auto"/>
        <w:jc w:val="both"/>
        <w:rPr>
          <w:rFonts w:ascii="Times New Roman" w:hAnsi="Times New Roman" w:cs="Times New Roman"/>
          <w:bCs/>
          <w:sz w:val="20"/>
          <w:szCs w:val="20"/>
        </w:rPr>
      </w:pPr>
      <w:r w:rsidRPr="00093EB8">
        <w:rPr>
          <w:rFonts w:ascii="Times New Roman" w:hAnsi="Times New Roman" w:cs="Times New Roman"/>
          <w:bCs/>
          <w:sz w:val="20"/>
          <w:szCs w:val="20"/>
        </w:rPr>
        <w:t xml:space="preserve">A summary of Marble’s issued and outstanding share purchase options at the date of this MD&amp;A is as follows: </w:t>
      </w:r>
    </w:p>
    <w:p w14:paraId="7727F7F3" w14:textId="77777777" w:rsidR="009E2275" w:rsidRPr="00093EB8" w:rsidRDefault="009E2275" w:rsidP="009E2275">
      <w:pPr>
        <w:spacing w:after="0" w:line="240" w:lineRule="auto"/>
        <w:jc w:val="both"/>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701"/>
        <w:gridCol w:w="1701"/>
      </w:tblGrid>
      <w:tr w:rsidR="009E2275" w:rsidRPr="00093EB8" w14:paraId="55B35321" w14:textId="77777777" w:rsidTr="00C42020">
        <w:tc>
          <w:tcPr>
            <w:tcW w:w="5812" w:type="dxa"/>
            <w:tcBorders>
              <w:top w:val="double" w:sz="4" w:space="0" w:color="auto"/>
              <w:bottom w:val="single" w:sz="4" w:space="0" w:color="auto"/>
            </w:tcBorders>
          </w:tcPr>
          <w:p w14:paraId="536028C7" w14:textId="77777777" w:rsidR="009E2275" w:rsidRPr="00093EB8" w:rsidRDefault="009E2275" w:rsidP="00C42020">
            <w:pPr>
              <w:rPr>
                <w:rFonts w:ascii="Times New Roman" w:hAnsi="Times New Roman" w:cs="Times New Roman"/>
                <w:b/>
                <w:bCs/>
                <w:sz w:val="20"/>
                <w:szCs w:val="20"/>
              </w:rPr>
            </w:pPr>
          </w:p>
          <w:p w14:paraId="2B092BBE"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b/>
                <w:bCs/>
                <w:sz w:val="20"/>
                <w:szCs w:val="20"/>
              </w:rPr>
              <w:t>Expiry Date</w:t>
            </w:r>
          </w:p>
        </w:tc>
        <w:tc>
          <w:tcPr>
            <w:tcW w:w="1701" w:type="dxa"/>
            <w:tcBorders>
              <w:top w:val="double" w:sz="4" w:space="0" w:color="auto"/>
              <w:bottom w:val="single" w:sz="4" w:space="0" w:color="auto"/>
            </w:tcBorders>
          </w:tcPr>
          <w:p w14:paraId="19DFDC83" w14:textId="77777777" w:rsidR="009E2275" w:rsidRPr="00093EB8" w:rsidRDefault="009E2275" w:rsidP="00C42020">
            <w:pPr>
              <w:tabs>
                <w:tab w:val="decimal" w:pos="1202"/>
              </w:tabs>
              <w:rPr>
                <w:rFonts w:ascii="Times New Roman" w:hAnsi="Times New Roman" w:cs="Times New Roman"/>
                <w:b/>
                <w:bCs/>
                <w:sz w:val="20"/>
                <w:szCs w:val="20"/>
              </w:rPr>
            </w:pPr>
          </w:p>
          <w:p w14:paraId="3C1B41D1" w14:textId="77777777" w:rsidR="009E2275" w:rsidRPr="00093EB8" w:rsidRDefault="009E2275" w:rsidP="00C42020">
            <w:pPr>
              <w:tabs>
                <w:tab w:val="decimal" w:pos="1202"/>
              </w:tabs>
              <w:rPr>
                <w:rFonts w:ascii="Times New Roman" w:hAnsi="Times New Roman" w:cs="Times New Roman"/>
                <w:b/>
                <w:bCs/>
                <w:sz w:val="20"/>
                <w:szCs w:val="20"/>
              </w:rPr>
            </w:pPr>
            <w:r w:rsidRPr="00093EB8">
              <w:rPr>
                <w:rFonts w:ascii="Times New Roman" w:hAnsi="Times New Roman" w:cs="Times New Roman"/>
                <w:b/>
                <w:bCs/>
                <w:sz w:val="20"/>
                <w:szCs w:val="20"/>
              </w:rPr>
              <w:t>Exercise Price</w:t>
            </w:r>
          </w:p>
        </w:tc>
        <w:tc>
          <w:tcPr>
            <w:tcW w:w="1701" w:type="dxa"/>
            <w:tcBorders>
              <w:top w:val="double" w:sz="4" w:space="0" w:color="auto"/>
              <w:bottom w:val="single" w:sz="4" w:space="0" w:color="auto"/>
            </w:tcBorders>
          </w:tcPr>
          <w:p w14:paraId="7CB8B98D" w14:textId="77777777" w:rsidR="009E2275" w:rsidRPr="00093EB8" w:rsidRDefault="009E2275" w:rsidP="00C42020">
            <w:pPr>
              <w:tabs>
                <w:tab w:val="decimal" w:pos="1202"/>
              </w:tabs>
              <w:rPr>
                <w:rFonts w:ascii="Times New Roman" w:hAnsi="Times New Roman" w:cs="Times New Roman"/>
                <w:b/>
                <w:bCs/>
                <w:sz w:val="20"/>
                <w:szCs w:val="20"/>
              </w:rPr>
            </w:pPr>
            <w:r w:rsidRPr="00093EB8">
              <w:rPr>
                <w:rFonts w:ascii="Times New Roman" w:hAnsi="Times New Roman" w:cs="Times New Roman"/>
                <w:b/>
                <w:bCs/>
                <w:sz w:val="20"/>
                <w:szCs w:val="20"/>
              </w:rPr>
              <w:t>Number Outstanding</w:t>
            </w:r>
          </w:p>
        </w:tc>
      </w:tr>
      <w:tr w:rsidR="00093EB8" w:rsidRPr="00093EB8" w14:paraId="5B4B04A7" w14:textId="77777777" w:rsidTr="002A11D1">
        <w:tc>
          <w:tcPr>
            <w:tcW w:w="5812" w:type="dxa"/>
          </w:tcPr>
          <w:p w14:paraId="5B88EB09"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March 20, 2024</w:t>
            </w:r>
          </w:p>
        </w:tc>
        <w:tc>
          <w:tcPr>
            <w:tcW w:w="1701" w:type="dxa"/>
          </w:tcPr>
          <w:p w14:paraId="2EAD8E24"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0.20</w:t>
            </w:r>
          </w:p>
        </w:tc>
        <w:tc>
          <w:tcPr>
            <w:tcW w:w="1701" w:type="dxa"/>
            <w:vAlign w:val="center"/>
          </w:tcPr>
          <w:p w14:paraId="5332B4B2" w14:textId="75845382" w:rsidR="00093EB8" w:rsidRPr="00A4460C" w:rsidRDefault="00093EB8" w:rsidP="00093EB8">
            <w:pPr>
              <w:tabs>
                <w:tab w:val="left" w:pos="0"/>
                <w:tab w:val="decimal" w:pos="1202"/>
              </w:tabs>
              <w:rPr>
                <w:rFonts w:ascii="Times New Roman" w:hAnsi="Times New Roman" w:cs="Times New Roman"/>
                <w:sz w:val="20"/>
                <w:szCs w:val="20"/>
                <w:highlight w:val="yellow"/>
              </w:rPr>
            </w:pPr>
            <w:r w:rsidRPr="00A4460C">
              <w:rPr>
                <w:rFonts w:ascii="Times New Roman" w:hAnsi="Times New Roman" w:cs="Times New Roman"/>
                <w:sz w:val="20"/>
                <w:szCs w:val="20"/>
              </w:rPr>
              <w:tab/>
              <w:t>1,325,000</w:t>
            </w:r>
          </w:p>
        </w:tc>
      </w:tr>
      <w:tr w:rsidR="00093EB8" w:rsidRPr="00093EB8" w14:paraId="7EBD44CA" w14:textId="77777777" w:rsidTr="002A11D1">
        <w:tc>
          <w:tcPr>
            <w:tcW w:w="5812" w:type="dxa"/>
          </w:tcPr>
          <w:p w14:paraId="67FE5B66"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September 23, 2024</w:t>
            </w:r>
          </w:p>
        </w:tc>
        <w:tc>
          <w:tcPr>
            <w:tcW w:w="1701" w:type="dxa"/>
          </w:tcPr>
          <w:p w14:paraId="24054501"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0.25</w:t>
            </w:r>
          </w:p>
        </w:tc>
        <w:tc>
          <w:tcPr>
            <w:tcW w:w="1701" w:type="dxa"/>
            <w:vAlign w:val="center"/>
          </w:tcPr>
          <w:p w14:paraId="7934EEE2" w14:textId="70848D5F" w:rsidR="00093EB8" w:rsidRPr="00A4460C" w:rsidRDefault="00093EB8" w:rsidP="00093EB8">
            <w:pPr>
              <w:tabs>
                <w:tab w:val="left" w:pos="0"/>
                <w:tab w:val="decimal" w:pos="1202"/>
              </w:tabs>
              <w:rPr>
                <w:rFonts w:ascii="Times New Roman" w:hAnsi="Times New Roman" w:cs="Times New Roman"/>
                <w:sz w:val="20"/>
                <w:szCs w:val="20"/>
                <w:highlight w:val="yellow"/>
              </w:rPr>
            </w:pPr>
            <w:r w:rsidRPr="00A4460C">
              <w:rPr>
                <w:rFonts w:ascii="Times New Roman" w:hAnsi="Times New Roman" w:cs="Times New Roman"/>
                <w:sz w:val="20"/>
                <w:szCs w:val="20"/>
              </w:rPr>
              <w:tab/>
              <w:t>500,000</w:t>
            </w:r>
          </w:p>
        </w:tc>
      </w:tr>
      <w:tr w:rsidR="00093EB8" w:rsidRPr="00093EB8" w14:paraId="58C9C8E3" w14:textId="77777777" w:rsidTr="002A11D1">
        <w:tc>
          <w:tcPr>
            <w:tcW w:w="5812" w:type="dxa"/>
          </w:tcPr>
          <w:p w14:paraId="3E0500C7"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November 1, 2024</w:t>
            </w:r>
          </w:p>
        </w:tc>
        <w:tc>
          <w:tcPr>
            <w:tcW w:w="1701" w:type="dxa"/>
          </w:tcPr>
          <w:p w14:paraId="60FBB4D2"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0.21</w:t>
            </w:r>
          </w:p>
        </w:tc>
        <w:tc>
          <w:tcPr>
            <w:tcW w:w="1701" w:type="dxa"/>
            <w:vAlign w:val="center"/>
          </w:tcPr>
          <w:p w14:paraId="3354D706" w14:textId="28306C20"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175,000</w:t>
            </w:r>
          </w:p>
        </w:tc>
      </w:tr>
      <w:tr w:rsidR="00093EB8" w:rsidRPr="00093EB8" w14:paraId="6B53897B" w14:textId="77777777" w:rsidTr="002A11D1">
        <w:tc>
          <w:tcPr>
            <w:tcW w:w="5812" w:type="dxa"/>
          </w:tcPr>
          <w:p w14:paraId="502C7FC9"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December 3, 2024</w:t>
            </w:r>
          </w:p>
        </w:tc>
        <w:tc>
          <w:tcPr>
            <w:tcW w:w="1701" w:type="dxa"/>
          </w:tcPr>
          <w:p w14:paraId="562F1B42"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0.21</w:t>
            </w:r>
          </w:p>
        </w:tc>
        <w:tc>
          <w:tcPr>
            <w:tcW w:w="1701" w:type="dxa"/>
            <w:vAlign w:val="center"/>
          </w:tcPr>
          <w:p w14:paraId="683599A0" w14:textId="64B0CFC7"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250,000</w:t>
            </w:r>
          </w:p>
        </w:tc>
      </w:tr>
      <w:tr w:rsidR="00093EB8" w:rsidRPr="00093EB8" w14:paraId="4DB85F5D" w14:textId="77777777" w:rsidTr="002A11D1">
        <w:tc>
          <w:tcPr>
            <w:tcW w:w="5812" w:type="dxa"/>
          </w:tcPr>
          <w:p w14:paraId="7ECE2545"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December 30, 2024</w:t>
            </w:r>
          </w:p>
        </w:tc>
        <w:tc>
          <w:tcPr>
            <w:tcW w:w="1701" w:type="dxa"/>
          </w:tcPr>
          <w:p w14:paraId="4578D65B"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0.20</w:t>
            </w:r>
          </w:p>
        </w:tc>
        <w:tc>
          <w:tcPr>
            <w:tcW w:w="1701" w:type="dxa"/>
            <w:vAlign w:val="center"/>
          </w:tcPr>
          <w:p w14:paraId="47C43880" w14:textId="6E20026C"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100,000</w:t>
            </w:r>
          </w:p>
        </w:tc>
      </w:tr>
      <w:tr w:rsidR="00093EB8" w:rsidRPr="00093EB8" w14:paraId="4AD30701" w14:textId="77777777" w:rsidTr="002A11D1">
        <w:tc>
          <w:tcPr>
            <w:tcW w:w="5812" w:type="dxa"/>
          </w:tcPr>
          <w:p w14:paraId="352F5CF6"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January 23, 2025</w:t>
            </w:r>
          </w:p>
        </w:tc>
        <w:tc>
          <w:tcPr>
            <w:tcW w:w="1701" w:type="dxa"/>
          </w:tcPr>
          <w:p w14:paraId="750E0B9A"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0.20</w:t>
            </w:r>
          </w:p>
        </w:tc>
        <w:tc>
          <w:tcPr>
            <w:tcW w:w="1701" w:type="dxa"/>
            <w:vAlign w:val="center"/>
          </w:tcPr>
          <w:p w14:paraId="36E002AA" w14:textId="5D09D01C"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100,000</w:t>
            </w:r>
          </w:p>
        </w:tc>
      </w:tr>
      <w:tr w:rsidR="00093EB8" w:rsidRPr="00093EB8" w14:paraId="3170EF23" w14:textId="77777777" w:rsidTr="002A11D1">
        <w:tc>
          <w:tcPr>
            <w:tcW w:w="5812" w:type="dxa"/>
          </w:tcPr>
          <w:p w14:paraId="1CC083A3"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February 6, 2025</w:t>
            </w:r>
          </w:p>
        </w:tc>
        <w:tc>
          <w:tcPr>
            <w:tcW w:w="1701" w:type="dxa"/>
          </w:tcPr>
          <w:p w14:paraId="2086C8A0"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0.19</w:t>
            </w:r>
          </w:p>
        </w:tc>
        <w:tc>
          <w:tcPr>
            <w:tcW w:w="1701" w:type="dxa"/>
            <w:vAlign w:val="center"/>
          </w:tcPr>
          <w:p w14:paraId="6DCB75BE" w14:textId="5C81AB25"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100,000</w:t>
            </w:r>
          </w:p>
        </w:tc>
      </w:tr>
      <w:tr w:rsidR="00093EB8" w:rsidRPr="00093EB8" w14:paraId="74CDBBA3" w14:textId="77777777" w:rsidTr="002A11D1">
        <w:tc>
          <w:tcPr>
            <w:tcW w:w="5812" w:type="dxa"/>
          </w:tcPr>
          <w:p w14:paraId="5492E7F5"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March 2, 2025</w:t>
            </w:r>
          </w:p>
        </w:tc>
        <w:tc>
          <w:tcPr>
            <w:tcW w:w="1701" w:type="dxa"/>
          </w:tcPr>
          <w:p w14:paraId="22D97E78"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0.19</w:t>
            </w:r>
          </w:p>
        </w:tc>
        <w:tc>
          <w:tcPr>
            <w:tcW w:w="1701" w:type="dxa"/>
            <w:vAlign w:val="center"/>
          </w:tcPr>
          <w:p w14:paraId="0CD57A9E" w14:textId="758F96A3" w:rsidR="00093EB8" w:rsidRPr="00A4460C" w:rsidRDefault="00093EB8" w:rsidP="00093EB8">
            <w:pPr>
              <w:tabs>
                <w:tab w:val="left" w:pos="0"/>
                <w:tab w:val="decimal" w:pos="1202"/>
              </w:tabs>
              <w:rPr>
                <w:rFonts w:ascii="Times New Roman" w:hAnsi="Times New Roman" w:cs="Times New Roman"/>
                <w:sz w:val="20"/>
                <w:szCs w:val="20"/>
                <w:highlight w:val="yellow"/>
              </w:rPr>
            </w:pPr>
            <w:r w:rsidRPr="00A4460C">
              <w:rPr>
                <w:rFonts w:ascii="Times New Roman" w:hAnsi="Times New Roman" w:cs="Times New Roman"/>
                <w:sz w:val="20"/>
                <w:szCs w:val="20"/>
              </w:rPr>
              <w:tab/>
              <w:t>100,000</w:t>
            </w:r>
          </w:p>
        </w:tc>
      </w:tr>
      <w:tr w:rsidR="00093EB8" w:rsidRPr="00093EB8" w14:paraId="617845E9" w14:textId="77777777" w:rsidTr="002A11D1">
        <w:tc>
          <w:tcPr>
            <w:tcW w:w="5812" w:type="dxa"/>
          </w:tcPr>
          <w:p w14:paraId="1D6FF2A3"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November 30, 2025</w:t>
            </w:r>
          </w:p>
        </w:tc>
        <w:tc>
          <w:tcPr>
            <w:tcW w:w="1701" w:type="dxa"/>
          </w:tcPr>
          <w:p w14:paraId="6ABC298F"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0.16</w:t>
            </w:r>
          </w:p>
        </w:tc>
        <w:tc>
          <w:tcPr>
            <w:tcW w:w="1701" w:type="dxa"/>
            <w:vAlign w:val="center"/>
          </w:tcPr>
          <w:p w14:paraId="4F935031" w14:textId="3B47E8B1" w:rsidR="00093EB8" w:rsidRPr="00A4460C" w:rsidRDefault="00093EB8" w:rsidP="00093EB8">
            <w:pPr>
              <w:tabs>
                <w:tab w:val="left" w:pos="0"/>
                <w:tab w:val="decimal" w:pos="1202"/>
              </w:tabs>
              <w:rPr>
                <w:rFonts w:ascii="Times New Roman" w:hAnsi="Times New Roman" w:cs="Times New Roman"/>
                <w:sz w:val="20"/>
                <w:szCs w:val="20"/>
                <w:highlight w:val="yellow"/>
              </w:rPr>
            </w:pPr>
            <w:r w:rsidRPr="00A4460C">
              <w:rPr>
                <w:rFonts w:ascii="Times New Roman" w:hAnsi="Times New Roman" w:cs="Times New Roman"/>
                <w:sz w:val="20"/>
                <w:szCs w:val="20"/>
              </w:rPr>
              <w:tab/>
              <w:t>450,000</w:t>
            </w:r>
          </w:p>
        </w:tc>
      </w:tr>
      <w:tr w:rsidR="00093EB8" w:rsidRPr="00093EB8" w14:paraId="763AD59E" w14:textId="77777777" w:rsidTr="002A11D1">
        <w:tc>
          <w:tcPr>
            <w:tcW w:w="5812" w:type="dxa"/>
          </w:tcPr>
          <w:p w14:paraId="5E1EDAE0" w14:textId="77777777"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December 30, 2025</w:t>
            </w:r>
          </w:p>
        </w:tc>
        <w:tc>
          <w:tcPr>
            <w:tcW w:w="1701" w:type="dxa"/>
          </w:tcPr>
          <w:p w14:paraId="60BFBE68" w14:textId="77777777"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0.23</w:t>
            </w:r>
          </w:p>
        </w:tc>
        <w:tc>
          <w:tcPr>
            <w:tcW w:w="1701" w:type="dxa"/>
            <w:vAlign w:val="center"/>
          </w:tcPr>
          <w:p w14:paraId="36F87F5D" w14:textId="50B6B28E"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300,000</w:t>
            </w:r>
          </w:p>
        </w:tc>
      </w:tr>
      <w:tr w:rsidR="009E2275" w:rsidRPr="00093EB8" w14:paraId="3B0800EF" w14:textId="77777777" w:rsidTr="00C42020">
        <w:tc>
          <w:tcPr>
            <w:tcW w:w="5812" w:type="dxa"/>
          </w:tcPr>
          <w:p w14:paraId="4A220F80" w14:textId="77777777" w:rsidR="009E2275" w:rsidRPr="00093EB8" w:rsidRDefault="009E2275" w:rsidP="00C42020">
            <w:pPr>
              <w:rPr>
                <w:rFonts w:ascii="Times New Roman" w:hAnsi="Times New Roman" w:cs="Times New Roman"/>
                <w:sz w:val="20"/>
                <w:szCs w:val="20"/>
              </w:rPr>
            </w:pPr>
            <w:r w:rsidRPr="00093EB8">
              <w:rPr>
                <w:rFonts w:ascii="Times New Roman" w:hAnsi="Times New Roman" w:cs="Times New Roman"/>
                <w:sz w:val="20"/>
                <w:szCs w:val="20"/>
              </w:rPr>
              <w:t>January 25, 2026</w:t>
            </w:r>
          </w:p>
        </w:tc>
        <w:tc>
          <w:tcPr>
            <w:tcW w:w="1701" w:type="dxa"/>
          </w:tcPr>
          <w:p w14:paraId="17B97A25" w14:textId="77777777" w:rsidR="009E2275" w:rsidRPr="00093EB8" w:rsidRDefault="009E2275" w:rsidP="00C4202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w:t>
            </w:r>
            <w:r w:rsidRPr="00093EB8">
              <w:rPr>
                <w:rFonts w:ascii="Times New Roman" w:hAnsi="Times New Roman" w:cs="Times New Roman"/>
                <w:sz w:val="20"/>
                <w:szCs w:val="20"/>
              </w:rPr>
              <w:tab/>
              <w:t>0.40</w:t>
            </w:r>
          </w:p>
        </w:tc>
        <w:tc>
          <w:tcPr>
            <w:tcW w:w="1701" w:type="dxa"/>
          </w:tcPr>
          <w:p w14:paraId="418F8C59" w14:textId="77777777" w:rsidR="009E2275" w:rsidRPr="00A4460C" w:rsidRDefault="009E2275" w:rsidP="00C42020">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2,135,000</w:t>
            </w:r>
          </w:p>
        </w:tc>
      </w:tr>
      <w:tr w:rsidR="00093EB8" w:rsidRPr="00093EB8" w14:paraId="77088510" w14:textId="77777777" w:rsidTr="00D614D2">
        <w:tc>
          <w:tcPr>
            <w:tcW w:w="5812" w:type="dxa"/>
            <w:vAlign w:val="center"/>
          </w:tcPr>
          <w:p w14:paraId="19826549" w14:textId="368AC99E"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May 31, 2026</w:t>
            </w:r>
          </w:p>
        </w:tc>
        <w:tc>
          <w:tcPr>
            <w:tcW w:w="1701" w:type="dxa"/>
            <w:vAlign w:val="center"/>
          </w:tcPr>
          <w:p w14:paraId="3A746209" w14:textId="7D6B1E92"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 xml:space="preserve">$              </w:t>
            </w:r>
            <w:r w:rsidRPr="00093EB8">
              <w:rPr>
                <w:rFonts w:ascii="Times New Roman" w:hAnsi="Times New Roman" w:cs="Times New Roman"/>
                <w:sz w:val="20"/>
                <w:szCs w:val="20"/>
              </w:rPr>
              <w:tab/>
              <w:t xml:space="preserve">0.23 </w:t>
            </w:r>
          </w:p>
        </w:tc>
        <w:tc>
          <w:tcPr>
            <w:tcW w:w="1701" w:type="dxa"/>
            <w:vAlign w:val="center"/>
          </w:tcPr>
          <w:p w14:paraId="1DE1B5CF" w14:textId="0BECCCC7" w:rsidR="00093EB8" w:rsidRPr="00A4460C" w:rsidRDefault="00093EB8" w:rsidP="00093EB8">
            <w:pPr>
              <w:tabs>
                <w:tab w:val="left" w:pos="0"/>
                <w:tab w:val="decimal" w:pos="1202"/>
              </w:tabs>
              <w:rPr>
                <w:rFonts w:ascii="Times New Roman" w:hAnsi="Times New Roman" w:cs="Times New Roman"/>
                <w:sz w:val="20"/>
                <w:szCs w:val="20"/>
                <w:highlight w:val="yellow"/>
              </w:rPr>
            </w:pPr>
            <w:r w:rsidRPr="00A4460C">
              <w:rPr>
                <w:rFonts w:ascii="Times New Roman" w:hAnsi="Times New Roman" w:cs="Times New Roman"/>
                <w:sz w:val="20"/>
                <w:szCs w:val="20"/>
              </w:rPr>
              <w:tab/>
              <w:t>375,000</w:t>
            </w:r>
          </w:p>
        </w:tc>
      </w:tr>
      <w:tr w:rsidR="00093EB8" w:rsidRPr="00093EB8" w14:paraId="5B6BC94A" w14:textId="77777777" w:rsidTr="00D614D2">
        <w:tc>
          <w:tcPr>
            <w:tcW w:w="5812" w:type="dxa"/>
            <w:vAlign w:val="center"/>
          </w:tcPr>
          <w:p w14:paraId="18639250" w14:textId="05658652" w:rsidR="00093EB8" w:rsidRPr="00093EB8" w:rsidRDefault="00093EB8" w:rsidP="00093EB8">
            <w:pPr>
              <w:rPr>
                <w:rFonts w:ascii="Times New Roman" w:hAnsi="Times New Roman" w:cs="Times New Roman"/>
                <w:sz w:val="20"/>
                <w:szCs w:val="20"/>
              </w:rPr>
            </w:pPr>
            <w:r w:rsidRPr="00093EB8">
              <w:rPr>
                <w:rFonts w:ascii="Times New Roman" w:hAnsi="Times New Roman" w:cs="Times New Roman"/>
                <w:sz w:val="20"/>
                <w:szCs w:val="20"/>
              </w:rPr>
              <w:t>June 30, 2026</w:t>
            </w:r>
          </w:p>
        </w:tc>
        <w:tc>
          <w:tcPr>
            <w:tcW w:w="1701" w:type="dxa"/>
            <w:vAlign w:val="center"/>
          </w:tcPr>
          <w:p w14:paraId="3EF0BD3C" w14:textId="1180D029"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 xml:space="preserve">$              </w:t>
            </w:r>
            <w:r w:rsidRPr="00093EB8">
              <w:rPr>
                <w:rFonts w:ascii="Times New Roman" w:hAnsi="Times New Roman" w:cs="Times New Roman"/>
                <w:sz w:val="20"/>
                <w:szCs w:val="20"/>
              </w:rPr>
              <w:tab/>
              <w:t xml:space="preserve">0.21 </w:t>
            </w:r>
          </w:p>
        </w:tc>
        <w:tc>
          <w:tcPr>
            <w:tcW w:w="1701" w:type="dxa"/>
            <w:vAlign w:val="center"/>
          </w:tcPr>
          <w:p w14:paraId="34988D26" w14:textId="1678A3F2" w:rsidR="00093EB8" w:rsidRPr="00A4460C" w:rsidRDefault="00093EB8" w:rsidP="00093EB8">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850,000</w:t>
            </w:r>
          </w:p>
        </w:tc>
      </w:tr>
      <w:tr w:rsidR="0034635B" w:rsidRPr="00093EB8" w14:paraId="10CEC6E5" w14:textId="77777777" w:rsidTr="00FC4630">
        <w:tc>
          <w:tcPr>
            <w:tcW w:w="5812" w:type="dxa"/>
            <w:vAlign w:val="center"/>
          </w:tcPr>
          <w:p w14:paraId="2EA970A2" w14:textId="3005E640" w:rsidR="0034635B" w:rsidRPr="00093EB8" w:rsidRDefault="0034635B" w:rsidP="00FC4630">
            <w:pPr>
              <w:rPr>
                <w:rFonts w:ascii="Times New Roman" w:hAnsi="Times New Roman" w:cs="Times New Roman"/>
                <w:sz w:val="20"/>
                <w:szCs w:val="20"/>
              </w:rPr>
            </w:pPr>
            <w:r>
              <w:rPr>
                <w:rFonts w:ascii="Times New Roman" w:hAnsi="Times New Roman" w:cs="Times New Roman"/>
                <w:sz w:val="20"/>
                <w:szCs w:val="20"/>
              </w:rPr>
              <w:t>August 27, 2026</w:t>
            </w:r>
          </w:p>
        </w:tc>
        <w:tc>
          <w:tcPr>
            <w:tcW w:w="1701" w:type="dxa"/>
            <w:vAlign w:val="center"/>
          </w:tcPr>
          <w:p w14:paraId="3552CDEB" w14:textId="2A613C98" w:rsidR="0034635B" w:rsidRPr="00093EB8" w:rsidRDefault="0034635B" w:rsidP="00FC4630">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 xml:space="preserve">$              </w:t>
            </w:r>
            <w:r w:rsidRPr="00093EB8">
              <w:rPr>
                <w:rFonts w:ascii="Times New Roman" w:hAnsi="Times New Roman" w:cs="Times New Roman"/>
                <w:sz w:val="20"/>
                <w:szCs w:val="20"/>
              </w:rPr>
              <w:tab/>
              <w:t>0.</w:t>
            </w:r>
            <w:r>
              <w:rPr>
                <w:rFonts w:ascii="Times New Roman" w:hAnsi="Times New Roman" w:cs="Times New Roman"/>
                <w:sz w:val="20"/>
                <w:szCs w:val="20"/>
              </w:rPr>
              <w:t>17</w:t>
            </w:r>
            <w:r w:rsidRPr="00093EB8">
              <w:rPr>
                <w:rFonts w:ascii="Times New Roman" w:hAnsi="Times New Roman" w:cs="Times New Roman"/>
                <w:sz w:val="20"/>
                <w:szCs w:val="20"/>
              </w:rPr>
              <w:t xml:space="preserve"> </w:t>
            </w:r>
          </w:p>
        </w:tc>
        <w:tc>
          <w:tcPr>
            <w:tcW w:w="1701" w:type="dxa"/>
            <w:vAlign w:val="center"/>
          </w:tcPr>
          <w:p w14:paraId="44B28CC2" w14:textId="4A61EC2D" w:rsidR="0034635B" w:rsidRPr="00A4460C" w:rsidRDefault="0034635B" w:rsidP="00FC4630">
            <w:pPr>
              <w:tabs>
                <w:tab w:val="left" w:pos="0"/>
                <w:tab w:val="decimal" w:pos="1202"/>
              </w:tabs>
              <w:rPr>
                <w:rFonts w:ascii="Times New Roman" w:hAnsi="Times New Roman" w:cs="Times New Roman"/>
                <w:sz w:val="20"/>
                <w:szCs w:val="20"/>
              </w:rPr>
            </w:pPr>
            <w:r w:rsidRPr="00A4460C">
              <w:rPr>
                <w:rFonts w:ascii="Times New Roman" w:hAnsi="Times New Roman" w:cs="Times New Roman"/>
                <w:sz w:val="20"/>
                <w:szCs w:val="20"/>
              </w:rPr>
              <w:tab/>
              <w:t>25,000</w:t>
            </w:r>
          </w:p>
        </w:tc>
      </w:tr>
      <w:tr w:rsidR="00093EB8" w:rsidRPr="00EE7B83" w14:paraId="680DC16B" w14:textId="77777777" w:rsidTr="00C42020">
        <w:tc>
          <w:tcPr>
            <w:tcW w:w="5812" w:type="dxa"/>
            <w:tcBorders>
              <w:top w:val="single" w:sz="4" w:space="0" w:color="auto"/>
              <w:bottom w:val="double" w:sz="4" w:space="0" w:color="auto"/>
            </w:tcBorders>
          </w:tcPr>
          <w:p w14:paraId="3D18990E" w14:textId="77777777" w:rsidR="00093EB8" w:rsidRPr="00093EB8" w:rsidRDefault="00093EB8" w:rsidP="00093EB8">
            <w:pPr>
              <w:rPr>
                <w:rFonts w:ascii="Times New Roman" w:hAnsi="Times New Roman" w:cs="Times New Roman"/>
                <w:sz w:val="20"/>
                <w:szCs w:val="20"/>
              </w:rPr>
            </w:pPr>
          </w:p>
        </w:tc>
        <w:tc>
          <w:tcPr>
            <w:tcW w:w="1701" w:type="dxa"/>
            <w:tcBorders>
              <w:top w:val="single" w:sz="4" w:space="0" w:color="auto"/>
              <w:bottom w:val="double" w:sz="4" w:space="0" w:color="auto"/>
            </w:tcBorders>
          </w:tcPr>
          <w:p w14:paraId="73B48BD2" w14:textId="77777777" w:rsidR="00093EB8" w:rsidRPr="00093EB8" w:rsidRDefault="00093EB8" w:rsidP="00093EB8">
            <w:pPr>
              <w:tabs>
                <w:tab w:val="left" w:pos="0"/>
                <w:tab w:val="decimal" w:pos="1202"/>
              </w:tabs>
              <w:rPr>
                <w:rFonts w:ascii="Times New Roman" w:hAnsi="Times New Roman" w:cs="Times New Roman"/>
                <w:sz w:val="20"/>
                <w:szCs w:val="20"/>
              </w:rPr>
            </w:pPr>
          </w:p>
        </w:tc>
        <w:tc>
          <w:tcPr>
            <w:tcW w:w="1701" w:type="dxa"/>
            <w:tcBorders>
              <w:top w:val="single" w:sz="4" w:space="0" w:color="auto"/>
              <w:bottom w:val="double" w:sz="4" w:space="0" w:color="auto"/>
            </w:tcBorders>
          </w:tcPr>
          <w:p w14:paraId="7064DA0B" w14:textId="63FC8594" w:rsidR="00093EB8" w:rsidRPr="00093EB8" w:rsidRDefault="00093EB8" w:rsidP="00093EB8">
            <w:pPr>
              <w:tabs>
                <w:tab w:val="left" w:pos="0"/>
                <w:tab w:val="decimal" w:pos="1202"/>
              </w:tabs>
              <w:rPr>
                <w:rFonts w:ascii="Times New Roman" w:hAnsi="Times New Roman" w:cs="Times New Roman"/>
                <w:sz w:val="20"/>
                <w:szCs w:val="20"/>
              </w:rPr>
            </w:pPr>
            <w:r w:rsidRPr="00093EB8">
              <w:rPr>
                <w:rFonts w:ascii="Times New Roman" w:hAnsi="Times New Roman" w:cs="Times New Roman"/>
                <w:sz w:val="20"/>
                <w:szCs w:val="20"/>
              </w:rPr>
              <w:tab/>
              <w:t>6,</w:t>
            </w:r>
            <w:r w:rsidR="0034635B">
              <w:rPr>
                <w:rFonts w:ascii="Times New Roman" w:hAnsi="Times New Roman" w:cs="Times New Roman"/>
                <w:sz w:val="20"/>
                <w:szCs w:val="20"/>
              </w:rPr>
              <w:t>785</w:t>
            </w:r>
            <w:r w:rsidRPr="00093EB8">
              <w:rPr>
                <w:rFonts w:ascii="Times New Roman" w:hAnsi="Times New Roman" w:cs="Times New Roman"/>
                <w:sz w:val="20"/>
                <w:szCs w:val="20"/>
              </w:rPr>
              <w:t>,000</w:t>
            </w:r>
          </w:p>
        </w:tc>
      </w:tr>
    </w:tbl>
    <w:p w14:paraId="01785C90" w14:textId="77777777" w:rsidR="00093EB8" w:rsidRPr="00093EB8" w:rsidRDefault="00093EB8" w:rsidP="009D4388">
      <w:pPr>
        <w:spacing w:after="0" w:line="240" w:lineRule="auto"/>
        <w:jc w:val="both"/>
        <w:rPr>
          <w:rFonts w:ascii="Times New Roman" w:hAnsi="Times New Roman" w:cs="Times New Roman"/>
          <w:bCs/>
          <w:sz w:val="20"/>
          <w:szCs w:val="20"/>
        </w:rPr>
      </w:pPr>
    </w:p>
    <w:p w14:paraId="7E8CC579" w14:textId="57624131" w:rsidR="00BC2EBB" w:rsidRPr="003D68E7" w:rsidRDefault="00BC2EBB" w:rsidP="009D4388">
      <w:pPr>
        <w:spacing w:after="0" w:line="240" w:lineRule="auto"/>
        <w:jc w:val="both"/>
        <w:rPr>
          <w:rFonts w:ascii="Times New Roman" w:hAnsi="Times New Roman" w:cs="Times New Roman"/>
          <w:bCs/>
          <w:sz w:val="20"/>
          <w:szCs w:val="20"/>
        </w:rPr>
      </w:pPr>
      <w:r w:rsidRPr="00093EB8">
        <w:rPr>
          <w:rFonts w:ascii="Times New Roman" w:hAnsi="Times New Roman" w:cs="Times New Roman"/>
          <w:bCs/>
          <w:sz w:val="20"/>
          <w:szCs w:val="20"/>
        </w:rPr>
        <w:t xml:space="preserve">As at the date of this MD&amp;A, </w:t>
      </w:r>
      <w:r w:rsidR="005A1807">
        <w:rPr>
          <w:rFonts w:ascii="Times New Roman" w:hAnsi="Times New Roman" w:cs="Times New Roman"/>
          <w:bCs/>
          <w:sz w:val="20"/>
          <w:szCs w:val="20"/>
        </w:rPr>
        <w:t>400</w:t>
      </w:r>
      <w:r w:rsidR="00093EB8" w:rsidRPr="00093EB8">
        <w:rPr>
          <w:rFonts w:ascii="Times New Roman" w:hAnsi="Times New Roman" w:cs="Times New Roman"/>
          <w:bCs/>
          <w:sz w:val="20"/>
          <w:szCs w:val="20"/>
        </w:rPr>
        <w:t>,</w:t>
      </w:r>
      <w:r w:rsidR="0034635B">
        <w:rPr>
          <w:rFonts w:ascii="Times New Roman" w:hAnsi="Times New Roman" w:cs="Times New Roman"/>
          <w:bCs/>
          <w:sz w:val="20"/>
          <w:szCs w:val="20"/>
        </w:rPr>
        <w:t>0</w:t>
      </w:r>
      <w:r w:rsidR="00093EB8" w:rsidRPr="00093EB8">
        <w:rPr>
          <w:rFonts w:ascii="Times New Roman" w:hAnsi="Times New Roman" w:cs="Times New Roman"/>
          <w:bCs/>
          <w:sz w:val="20"/>
          <w:szCs w:val="20"/>
        </w:rPr>
        <w:t>00</w:t>
      </w:r>
      <w:r w:rsidRPr="00093EB8">
        <w:rPr>
          <w:rFonts w:ascii="Times New Roman" w:hAnsi="Times New Roman" w:cs="Times New Roman"/>
          <w:bCs/>
          <w:sz w:val="20"/>
          <w:szCs w:val="20"/>
        </w:rPr>
        <w:t xml:space="preserve"> RSUs are also outstanding.</w:t>
      </w:r>
    </w:p>
    <w:p w14:paraId="58F8C28E" w14:textId="77777777" w:rsidR="00BC2EBB" w:rsidRDefault="00BC2EBB" w:rsidP="009D4388">
      <w:pPr>
        <w:spacing w:after="0" w:line="240" w:lineRule="auto"/>
        <w:jc w:val="both"/>
        <w:rPr>
          <w:rFonts w:ascii="Times New Roman" w:hAnsi="Times New Roman" w:cs="Times New Roman"/>
          <w:b/>
          <w:sz w:val="20"/>
          <w:szCs w:val="20"/>
        </w:rPr>
      </w:pPr>
    </w:p>
    <w:p w14:paraId="17CF204F" w14:textId="4136211E" w:rsidR="009D02BC" w:rsidRPr="00EB729F" w:rsidRDefault="009D02BC" w:rsidP="00CD0067">
      <w:pPr>
        <w:pStyle w:val="BodyText"/>
        <w:spacing w:after="0" w:line="240" w:lineRule="auto"/>
        <w:jc w:val="both"/>
        <w:rPr>
          <w:rFonts w:ascii="Times New Roman" w:hAnsi="Times New Roman" w:cs="Times New Roman"/>
          <w:b/>
          <w:sz w:val="20"/>
          <w:szCs w:val="20"/>
        </w:rPr>
      </w:pPr>
      <w:r w:rsidRPr="00EB729F">
        <w:rPr>
          <w:rFonts w:ascii="Times New Roman" w:hAnsi="Times New Roman" w:cs="Times New Roman"/>
          <w:b/>
          <w:sz w:val="20"/>
          <w:szCs w:val="20"/>
        </w:rPr>
        <w:t>SUBSEQUENT EVEN</w:t>
      </w:r>
      <w:r w:rsidR="00BF1655">
        <w:rPr>
          <w:rFonts w:ascii="Times New Roman" w:hAnsi="Times New Roman" w:cs="Times New Roman"/>
          <w:b/>
          <w:sz w:val="20"/>
          <w:szCs w:val="20"/>
        </w:rPr>
        <w:t>T</w:t>
      </w:r>
      <w:r w:rsidRPr="00EB729F">
        <w:rPr>
          <w:rFonts w:ascii="Times New Roman" w:hAnsi="Times New Roman" w:cs="Times New Roman"/>
          <w:b/>
          <w:sz w:val="20"/>
          <w:szCs w:val="20"/>
        </w:rPr>
        <w:t>S</w:t>
      </w:r>
    </w:p>
    <w:p w14:paraId="0A3A8214" w14:textId="019CF6A3" w:rsidR="009D02BC" w:rsidRPr="00EB729F" w:rsidRDefault="009D02BC" w:rsidP="00CD0067">
      <w:pPr>
        <w:pStyle w:val="BodyText"/>
        <w:spacing w:after="0" w:line="240" w:lineRule="auto"/>
        <w:jc w:val="both"/>
        <w:rPr>
          <w:rFonts w:ascii="Times New Roman" w:hAnsi="Times New Roman" w:cs="Times New Roman"/>
          <w:b/>
          <w:sz w:val="20"/>
          <w:szCs w:val="20"/>
        </w:rPr>
      </w:pPr>
    </w:p>
    <w:p w14:paraId="5BCEBE7D" w14:textId="77777777" w:rsidR="00093EB8" w:rsidRPr="00EB729F" w:rsidRDefault="00093EB8" w:rsidP="00093EB8">
      <w:pPr>
        <w:pStyle w:val="BodyText"/>
        <w:spacing w:after="0" w:line="240" w:lineRule="auto"/>
        <w:jc w:val="both"/>
        <w:rPr>
          <w:rFonts w:ascii="Times New Roman" w:hAnsi="Times New Roman" w:cs="Times New Roman"/>
          <w:i/>
          <w:iCs/>
          <w:sz w:val="20"/>
          <w:szCs w:val="20"/>
        </w:rPr>
      </w:pPr>
      <w:r w:rsidRPr="00EB729F">
        <w:rPr>
          <w:rFonts w:ascii="Times New Roman" w:hAnsi="Times New Roman" w:cs="Times New Roman"/>
          <w:i/>
          <w:iCs/>
          <w:sz w:val="20"/>
          <w:szCs w:val="20"/>
        </w:rPr>
        <w:t>Restricted Share Units Granted</w:t>
      </w:r>
    </w:p>
    <w:p w14:paraId="256EB241" w14:textId="77777777" w:rsidR="00093EB8" w:rsidRPr="00EB729F" w:rsidRDefault="00093EB8" w:rsidP="00093EB8">
      <w:pPr>
        <w:pStyle w:val="BodyText"/>
        <w:spacing w:after="0" w:line="240" w:lineRule="auto"/>
        <w:jc w:val="both"/>
        <w:rPr>
          <w:rFonts w:ascii="Times New Roman" w:hAnsi="Times New Roman" w:cs="Times New Roman"/>
          <w:sz w:val="20"/>
          <w:szCs w:val="20"/>
        </w:rPr>
      </w:pPr>
    </w:p>
    <w:p w14:paraId="22B93039" w14:textId="77777777" w:rsidR="00093EB8" w:rsidRPr="00EB729F" w:rsidRDefault="00093EB8" w:rsidP="00093EB8">
      <w:pPr>
        <w:pStyle w:val="BodyText"/>
        <w:spacing w:after="0" w:line="240" w:lineRule="auto"/>
        <w:jc w:val="both"/>
        <w:rPr>
          <w:rFonts w:ascii="Times New Roman" w:hAnsi="Times New Roman" w:cs="Times New Roman"/>
          <w:sz w:val="20"/>
          <w:szCs w:val="20"/>
        </w:rPr>
      </w:pPr>
      <w:r w:rsidRPr="00EB729F">
        <w:rPr>
          <w:rFonts w:ascii="Times New Roman" w:hAnsi="Times New Roman" w:cs="Times New Roman"/>
          <w:sz w:val="20"/>
          <w:szCs w:val="20"/>
        </w:rPr>
        <w:t xml:space="preserve">On July 2, </w:t>
      </w:r>
      <w:proofErr w:type="gramStart"/>
      <w:r w:rsidRPr="00EB729F">
        <w:rPr>
          <w:rFonts w:ascii="Times New Roman" w:hAnsi="Times New Roman" w:cs="Times New Roman"/>
          <w:sz w:val="20"/>
          <w:szCs w:val="20"/>
        </w:rPr>
        <w:t>2021</w:t>
      </w:r>
      <w:proofErr w:type="gramEnd"/>
      <w:r w:rsidRPr="00EB729F">
        <w:rPr>
          <w:rFonts w:ascii="Times New Roman" w:hAnsi="Times New Roman" w:cs="Times New Roman"/>
          <w:sz w:val="20"/>
          <w:szCs w:val="20"/>
        </w:rPr>
        <w:t xml:space="preserve"> the Company granted 300,000 RSUs to a consultant. Of the RSUs, 150,000 vest on October 2, 2021, with the remaining 150,000 vesting on January 2, 2022. </w:t>
      </w:r>
    </w:p>
    <w:p w14:paraId="7DAE759F" w14:textId="75037B79" w:rsidR="009D02BC" w:rsidRDefault="009D02BC" w:rsidP="00CD0067">
      <w:pPr>
        <w:pStyle w:val="BodyText"/>
        <w:spacing w:after="0" w:line="240" w:lineRule="auto"/>
        <w:jc w:val="both"/>
        <w:rPr>
          <w:rFonts w:ascii="Times New Roman" w:hAnsi="Times New Roman" w:cs="Times New Roman"/>
          <w:sz w:val="20"/>
          <w:szCs w:val="20"/>
        </w:rPr>
      </w:pPr>
    </w:p>
    <w:p w14:paraId="617EED20" w14:textId="77777777" w:rsidR="005A1807" w:rsidRPr="00A4460C" w:rsidRDefault="005A1807" w:rsidP="00A4460C">
      <w:pPr>
        <w:spacing w:after="0" w:line="240" w:lineRule="auto"/>
        <w:jc w:val="both"/>
        <w:rPr>
          <w:rFonts w:ascii="Times New Roman" w:hAnsi="Times New Roman" w:cs="Times New Roman"/>
          <w:i/>
          <w:iCs/>
          <w:sz w:val="20"/>
          <w:szCs w:val="20"/>
        </w:rPr>
      </w:pPr>
      <w:r w:rsidRPr="00A4460C">
        <w:rPr>
          <w:rFonts w:ascii="Times New Roman" w:hAnsi="Times New Roman" w:cs="Times New Roman"/>
          <w:i/>
          <w:iCs/>
          <w:sz w:val="20"/>
          <w:szCs w:val="20"/>
        </w:rPr>
        <w:t>Credit Facility</w:t>
      </w:r>
    </w:p>
    <w:p w14:paraId="5D5BCE1F" w14:textId="77777777" w:rsidR="005A1807" w:rsidRPr="00F0696B" w:rsidRDefault="005A1807" w:rsidP="00A4460C">
      <w:pPr>
        <w:spacing w:after="0" w:line="240" w:lineRule="auto"/>
        <w:rPr>
          <w:rFonts w:ascii="Times New Roman" w:hAnsi="Times New Roman" w:cs="Times New Roman"/>
          <w:sz w:val="20"/>
          <w:szCs w:val="20"/>
        </w:rPr>
      </w:pPr>
    </w:p>
    <w:p w14:paraId="54625B43" w14:textId="5DFD23CE" w:rsidR="001806B0" w:rsidRPr="001806B0" w:rsidRDefault="001806B0" w:rsidP="00F0696B">
      <w:pPr>
        <w:jc w:val="both"/>
        <w:rPr>
          <w:rFonts w:ascii="Times New Roman" w:hAnsi="Times New Roman" w:cs="Times New Roman"/>
          <w:sz w:val="20"/>
          <w:szCs w:val="20"/>
        </w:rPr>
      </w:pPr>
      <w:r w:rsidRPr="00F0696B">
        <w:rPr>
          <w:rFonts w:ascii="Times New Roman" w:hAnsi="Times New Roman" w:cs="Times New Roman"/>
          <w:sz w:val="20"/>
          <w:szCs w:val="20"/>
        </w:rPr>
        <w:t xml:space="preserve">On July 26, </w:t>
      </w:r>
      <w:proofErr w:type="gramStart"/>
      <w:r w:rsidRPr="00F0696B">
        <w:rPr>
          <w:rFonts w:ascii="Times New Roman" w:hAnsi="Times New Roman" w:cs="Times New Roman"/>
          <w:sz w:val="20"/>
          <w:szCs w:val="20"/>
        </w:rPr>
        <w:t>2021</w:t>
      </w:r>
      <w:proofErr w:type="gramEnd"/>
      <w:r w:rsidRPr="00F0696B">
        <w:rPr>
          <w:rFonts w:ascii="Times New Roman" w:hAnsi="Times New Roman" w:cs="Times New Roman"/>
          <w:sz w:val="20"/>
          <w:szCs w:val="20"/>
        </w:rPr>
        <w:t xml:space="preserve"> the Company secured funding for new Fast-Track loans through a definitive credit facility agreement (the “Credit Facility Agreement”) amongst Marble, 1301771, TPFM, and CHP Agent Services Inc. (“CHP”), a subsidiary of Cypress Hills Partners Inc.  The Credit Facility Agreement provides for a $10 million credit facility to Marble, through 1301771 as borrower, with TPFM as servicing agent for originations, adjudications, administration and monitoring of the new Fast-Track loans, and CHP acting as administrative and collateral agent on behalf of the lenders. The aggregate amount of the funding is determined as a selected percentage (the “Advance Rate”) of the outstanding Eligible Customer Loans (as defined in the Credit Facility Agreement) in the loan portfolio, adjusted for customer loan payments received less accrued but unpaid amounts owing to CHP and the Lenders under the Credit Facility Agreement (the “Borrowing Base”), with an initial Advance Rate at 95% (the maximum) and a minimum threshold of 80%. The current amount of the credit facility </w:t>
      </w:r>
      <w:r w:rsidRPr="00C53768">
        <w:rPr>
          <w:rFonts w:ascii="Times New Roman" w:hAnsi="Times New Roman" w:cs="Times New Roman"/>
          <w:sz w:val="20"/>
          <w:szCs w:val="20"/>
        </w:rPr>
        <w:t>is $10,000,000 (the “Facility Amount”), with an option to increase the amount to $20,000,000 upon mutual agreement. Interest is charged at Canadian Prime (subject to a ceiling of 5.0% and a floor of 3.5%) plus 13%, with a provisional discount if the Advance Rate is less than 95%. The maturity date for all funds advanced is three (3) years after the date of the first funding advance, with an option to extend for a further two (2) years upon mutual agreement. In connection with the Credit Facility Agreement, 1301171 has provided a general security agreement (“GSA”) and each of Marble and TPFM has provided a limited guarantee and a “bad act” guarantee together with a GSA. Upon borrowing funds, the Company must also maintain $300,000 in unrestricted cash, and the Company has provided CHP with board of director observer rights and a right of first refusal on any additional debt or securitization financing beyond the Facility Amount.</w:t>
      </w:r>
    </w:p>
    <w:p w14:paraId="6489B33E" w14:textId="77777777" w:rsidR="005A1807" w:rsidRPr="00A4460C" w:rsidRDefault="005A1807" w:rsidP="00A4460C">
      <w:pPr>
        <w:spacing w:after="0" w:line="240" w:lineRule="auto"/>
        <w:jc w:val="both"/>
        <w:rPr>
          <w:rFonts w:ascii="Times New Roman" w:hAnsi="Times New Roman" w:cs="Times New Roman"/>
          <w:i/>
          <w:iCs/>
          <w:sz w:val="20"/>
          <w:szCs w:val="20"/>
        </w:rPr>
      </w:pPr>
      <w:r w:rsidRPr="00A4460C">
        <w:rPr>
          <w:rFonts w:ascii="Times New Roman" w:hAnsi="Times New Roman" w:cs="Times New Roman"/>
          <w:i/>
          <w:iCs/>
          <w:sz w:val="20"/>
          <w:szCs w:val="20"/>
        </w:rPr>
        <w:t>Convertible Debenture Extensions</w:t>
      </w:r>
    </w:p>
    <w:p w14:paraId="11AE50C1" w14:textId="77777777" w:rsidR="005A1807" w:rsidRPr="00A4460C" w:rsidRDefault="005A1807" w:rsidP="00A4460C">
      <w:pPr>
        <w:spacing w:after="0" w:line="240" w:lineRule="auto"/>
        <w:ind w:left="357"/>
        <w:jc w:val="both"/>
        <w:rPr>
          <w:rFonts w:ascii="Times New Roman" w:hAnsi="Times New Roman" w:cs="Times New Roman"/>
          <w:sz w:val="20"/>
          <w:szCs w:val="20"/>
        </w:rPr>
      </w:pPr>
    </w:p>
    <w:p w14:paraId="675CBFEC" w14:textId="77777777" w:rsidR="005A1807" w:rsidRPr="00A4460C" w:rsidRDefault="005A1807" w:rsidP="00A4460C">
      <w:pPr>
        <w:spacing w:after="0" w:line="240" w:lineRule="auto"/>
        <w:jc w:val="both"/>
        <w:rPr>
          <w:rFonts w:ascii="Times New Roman" w:hAnsi="Times New Roman" w:cs="Times New Roman"/>
          <w:sz w:val="20"/>
          <w:szCs w:val="20"/>
        </w:rPr>
      </w:pPr>
      <w:r w:rsidRPr="00A4460C">
        <w:rPr>
          <w:rFonts w:ascii="Times New Roman" w:hAnsi="Times New Roman" w:cs="Times New Roman"/>
          <w:sz w:val="20"/>
          <w:szCs w:val="20"/>
        </w:rPr>
        <w:t xml:space="preserve">In </w:t>
      </w:r>
      <w:proofErr w:type="gramStart"/>
      <w:r w:rsidRPr="00A4460C">
        <w:rPr>
          <w:rFonts w:ascii="Times New Roman" w:hAnsi="Times New Roman" w:cs="Times New Roman"/>
          <w:sz w:val="20"/>
          <w:szCs w:val="20"/>
        </w:rPr>
        <w:t>August,</w:t>
      </w:r>
      <w:proofErr w:type="gramEnd"/>
      <w:r w:rsidRPr="00A4460C">
        <w:rPr>
          <w:rFonts w:ascii="Times New Roman" w:hAnsi="Times New Roman" w:cs="Times New Roman"/>
          <w:sz w:val="20"/>
          <w:szCs w:val="20"/>
        </w:rPr>
        <w:t xml:space="preserve"> 2021, the Company entered into amending agreements with convertible debenture holders to extend the maturity date of an aggregate principal amount of $1,303,000 of convertible debentures due July 7, 2022 to December </w:t>
      </w:r>
      <w:r w:rsidRPr="00A4460C">
        <w:rPr>
          <w:rFonts w:ascii="Times New Roman" w:hAnsi="Times New Roman" w:cs="Times New Roman"/>
          <w:sz w:val="20"/>
          <w:szCs w:val="20"/>
        </w:rPr>
        <w:lastRenderedPageBreak/>
        <w:t xml:space="preserve">31, 2022, and in respect of the underlying warrants issuable on conversion to extend their expiry date from January 7, 2023 to June 30, 2023.  The principal amount of the convertible debentures is convertible into units at a price of $0.30 per unit, with each unit being comprised of one common share and one-half warrant, with a whole warrant being exercisable to purchase a common share at $0.45 until June 30, 2023 (extended from January 7, </w:t>
      </w:r>
      <w:proofErr w:type="gramStart"/>
      <w:r w:rsidRPr="00A4460C">
        <w:rPr>
          <w:rFonts w:ascii="Times New Roman" w:hAnsi="Times New Roman" w:cs="Times New Roman"/>
          <w:sz w:val="20"/>
          <w:szCs w:val="20"/>
        </w:rPr>
        <w:t>2023</w:t>
      </w:r>
      <w:proofErr w:type="gramEnd"/>
      <w:r w:rsidRPr="00A4460C">
        <w:rPr>
          <w:rFonts w:ascii="Times New Roman" w:hAnsi="Times New Roman" w:cs="Times New Roman"/>
          <w:sz w:val="20"/>
          <w:szCs w:val="20"/>
        </w:rPr>
        <w:t xml:space="preserve"> pursuant to the above mentioned amending agreement).</w:t>
      </w:r>
    </w:p>
    <w:p w14:paraId="6C3BA955" w14:textId="77777777" w:rsidR="005A1807" w:rsidRPr="00A4460C" w:rsidRDefault="005A1807" w:rsidP="00A4460C">
      <w:pPr>
        <w:spacing w:after="0" w:line="240" w:lineRule="auto"/>
        <w:ind w:left="357"/>
        <w:jc w:val="both"/>
        <w:rPr>
          <w:rFonts w:ascii="Times New Roman" w:hAnsi="Times New Roman" w:cs="Times New Roman"/>
          <w:sz w:val="20"/>
          <w:szCs w:val="20"/>
        </w:rPr>
      </w:pPr>
    </w:p>
    <w:p w14:paraId="47DC1199" w14:textId="77777777" w:rsidR="005A1807" w:rsidRPr="00A4460C" w:rsidRDefault="005A1807" w:rsidP="00A4460C">
      <w:pPr>
        <w:spacing w:after="0" w:line="240" w:lineRule="auto"/>
        <w:jc w:val="both"/>
        <w:rPr>
          <w:rFonts w:ascii="Times New Roman" w:hAnsi="Times New Roman" w:cs="Times New Roman"/>
          <w:i/>
          <w:sz w:val="20"/>
          <w:szCs w:val="20"/>
        </w:rPr>
      </w:pPr>
      <w:r w:rsidRPr="00A4460C">
        <w:rPr>
          <w:rFonts w:ascii="Times New Roman" w:hAnsi="Times New Roman" w:cs="Times New Roman"/>
          <w:i/>
          <w:sz w:val="20"/>
          <w:szCs w:val="20"/>
        </w:rPr>
        <w:t>Share Purchase Options Grant</w:t>
      </w:r>
    </w:p>
    <w:p w14:paraId="609BEDD3" w14:textId="77777777" w:rsidR="005A1807" w:rsidRPr="00A4460C" w:rsidRDefault="005A1807" w:rsidP="00A4460C">
      <w:pPr>
        <w:spacing w:after="0" w:line="240" w:lineRule="auto"/>
        <w:ind w:left="357"/>
        <w:jc w:val="both"/>
        <w:rPr>
          <w:rFonts w:ascii="Times New Roman" w:hAnsi="Times New Roman" w:cs="Times New Roman"/>
          <w:i/>
          <w:sz w:val="20"/>
          <w:szCs w:val="20"/>
        </w:rPr>
      </w:pPr>
    </w:p>
    <w:p w14:paraId="58FFB049" w14:textId="77777777" w:rsidR="005A1807" w:rsidRPr="00A4460C" w:rsidRDefault="005A1807" w:rsidP="00A4460C">
      <w:pPr>
        <w:spacing w:after="0" w:line="240" w:lineRule="auto"/>
        <w:jc w:val="both"/>
        <w:rPr>
          <w:rFonts w:ascii="Times New Roman" w:hAnsi="Times New Roman" w:cs="Times New Roman"/>
          <w:sz w:val="20"/>
          <w:szCs w:val="20"/>
        </w:rPr>
      </w:pPr>
      <w:r w:rsidRPr="00A4460C">
        <w:rPr>
          <w:rFonts w:ascii="Times New Roman" w:hAnsi="Times New Roman" w:cs="Times New Roman"/>
          <w:sz w:val="20"/>
          <w:szCs w:val="20"/>
        </w:rPr>
        <w:t>On August 27, 2021, the Company granted 25,000 share purchase options exercisable at $0.17 per common share with an expiry date of August 27, 2026.  The share purchase options are subject to standard vesting provisions of 25% on the date of grant and 25% on each anniversary date, such that all share purchase options fully vest over three years from the date of grant.</w:t>
      </w:r>
    </w:p>
    <w:p w14:paraId="21A4BF67" w14:textId="484FA25E" w:rsidR="005A1807" w:rsidRPr="00A4460C" w:rsidRDefault="005A1807" w:rsidP="00A4460C">
      <w:pPr>
        <w:pStyle w:val="BodyText"/>
        <w:spacing w:after="0" w:line="240" w:lineRule="auto"/>
        <w:jc w:val="both"/>
        <w:rPr>
          <w:rFonts w:ascii="Times New Roman" w:hAnsi="Times New Roman" w:cs="Times New Roman"/>
          <w:sz w:val="20"/>
          <w:szCs w:val="20"/>
        </w:rPr>
      </w:pPr>
    </w:p>
    <w:p w14:paraId="4D80DC71" w14:textId="6250723E" w:rsidR="00CD0067" w:rsidRPr="001D534D" w:rsidRDefault="00CD0067" w:rsidP="00CD0067">
      <w:pPr>
        <w:pStyle w:val="BodyText"/>
        <w:spacing w:after="0" w:line="240" w:lineRule="auto"/>
        <w:jc w:val="both"/>
        <w:rPr>
          <w:rFonts w:ascii="Times New Roman" w:hAnsi="Times New Roman" w:cs="Times New Roman"/>
          <w:b/>
          <w:sz w:val="20"/>
          <w:szCs w:val="20"/>
        </w:rPr>
      </w:pPr>
      <w:r w:rsidRPr="00EB729F">
        <w:rPr>
          <w:rFonts w:ascii="Times New Roman" w:hAnsi="Times New Roman" w:cs="Times New Roman"/>
          <w:b/>
          <w:sz w:val="20"/>
          <w:szCs w:val="20"/>
        </w:rPr>
        <w:t>CRITICAL ACCOUNTING ESTIMATES</w:t>
      </w:r>
    </w:p>
    <w:p w14:paraId="6395B8C9" w14:textId="77777777" w:rsidR="00CD0067" w:rsidRPr="001D534D" w:rsidRDefault="00CD0067" w:rsidP="00CD0067">
      <w:pPr>
        <w:pStyle w:val="BodyText"/>
        <w:spacing w:after="0" w:line="240" w:lineRule="auto"/>
        <w:jc w:val="both"/>
        <w:rPr>
          <w:rFonts w:ascii="Times New Roman" w:hAnsi="Times New Roman" w:cs="Times New Roman"/>
          <w:b/>
          <w:sz w:val="20"/>
          <w:szCs w:val="20"/>
        </w:rPr>
      </w:pPr>
    </w:p>
    <w:p w14:paraId="01DED9C7" w14:textId="7B030A8B" w:rsidR="00CD0067" w:rsidRPr="001D534D" w:rsidRDefault="00CD0067" w:rsidP="00CD0067">
      <w:pPr>
        <w:pStyle w:val="BodyText"/>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The preparation of the </w:t>
      </w:r>
      <w:r>
        <w:rPr>
          <w:rFonts w:ascii="Times New Roman" w:hAnsi="Times New Roman" w:cs="Times New Roman"/>
          <w:sz w:val="20"/>
          <w:szCs w:val="20"/>
        </w:rPr>
        <w:t>Company</w:t>
      </w:r>
      <w:r w:rsidRPr="001D534D">
        <w:rPr>
          <w:rFonts w:ascii="Times New Roman" w:hAnsi="Times New Roman" w:cs="Times New Roman"/>
          <w:sz w:val="20"/>
          <w:szCs w:val="20"/>
        </w:rPr>
        <w:t>’s consolidated financial statements requires management to make estimates and judgments and to form assumptions that affect the reported amounts and other disclosures in the consolidated financial statements. The estimates and associated assumptions are based on historical experience and various other factors that are believed to be reasonable under the circumstances. The results of these assumptions form the basis of making the judgments about carrying values of assets and liabilities that are not readily apparent from other sources. Actual results may differ from these estimates under different assumptions and conditions.</w:t>
      </w:r>
    </w:p>
    <w:p w14:paraId="52E680E0" w14:textId="77777777" w:rsidR="007E18F3" w:rsidRDefault="007E18F3" w:rsidP="00CD0067">
      <w:pPr>
        <w:spacing w:after="0" w:line="240" w:lineRule="auto"/>
        <w:jc w:val="both"/>
        <w:rPr>
          <w:rFonts w:ascii="Times New Roman" w:hAnsi="Times New Roman" w:cs="Times New Roman"/>
          <w:sz w:val="20"/>
          <w:szCs w:val="20"/>
        </w:rPr>
      </w:pPr>
    </w:p>
    <w:p w14:paraId="30D82E9A" w14:textId="25D76265" w:rsidR="00CD0067" w:rsidRPr="001D534D"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The estimates and underlying assumptions are reviewed on an ongoing basis.  Changes to accounting estimates are recognized in the period in which the estimate is revised and all future periods which are affected by the change in estimate. The principal areas where critical estimates and judgments have been applied are described below:</w:t>
      </w:r>
    </w:p>
    <w:p w14:paraId="70808F07" w14:textId="77777777" w:rsidR="00CD0067" w:rsidRPr="00152D99" w:rsidRDefault="00CD0067" w:rsidP="00CD0067">
      <w:pPr>
        <w:pStyle w:val="BodyText"/>
        <w:spacing w:after="0" w:line="240" w:lineRule="auto"/>
        <w:jc w:val="both"/>
        <w:rPr>
          <w:rFonts w:ascii="Times New Roman" w:hAnsi="Times New Roman" w:cs="Times New Roman"/>
          <w:sz w:val="20"/>
          <w:szCs w:val="20"/>
        </w:rPr>
      </w:pPr>
    </w:p>
    <w:p w14:paraId="0EFBEB85"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t>Impairment losses on loans receivable</w:t>
      </w:r>
    </w:p>
    <w:p w14:paraId="7186F70C"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p>
    <w:p w14:paraId="61C08E3B" w14:textId="77777777" w:rsidR="00CD0067" w:rsidRPr="001D534D" w:rsidRDefault="00CD0067" w:rsidP="00CD0067">
      <w:pPr>
        <w:pStyle w:val="BodyText"/>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The </w:t>
      </w:r>
      <w:r>
        <w:rPr>
          <w:rFonts w:ascii="Times New Roman" w:hAnsi="Times New Roman" w:cs="Times New Roman"/>
          <w:sz w:val="20"/>
          <w:szCs w:val="20"/>
        </w:rPr>
        <w:t>Company</w:t>
      </w:r>
      <w:r w:rsidRPr="001D534D">
        <w:rPr>
          <w:rFonts w:ascii="Times New Roman" w:hAnsi="Times New Roman" w:cs="Times New Roman"/>
          <w:sz w:val="20"/>
          <w:szCs w:val="20"/>
        </w:rPr>
        <w:t xml:space="preserve"> regularly reviews its loans receivable for potential impairment.  In determining whether an impairment loss should be recorded in profit or loss, the </w:t>
      </w:r>
      <w:r>
        <w:rPr>
          <w:rFonts w:ascii="Times New Roman" w:hAnsi="Times New Roman" w:cs="Times New Roman"/>
          <w:sz w:val="20"/>
          <w:szCs w:val="20"/>
        </w:rPr>
        <w:t>Company</w:t>
      </w:r>
      <w:r w:rsidRPr="001D534D">
        <w:rPr>
          <w:rFonts w:ascii="Times New Roman" w:hAnsi="Times New Roman" w:cs="Times New Roman"/>
          <w:sz w:val="20"/>
          <w:szCs w:val="20"/>
        </w:rPr>
        <w:t xml:space="preserve"> considers whether there is any observable data indicating that an increase in the credit risk or a decrease in the estimated future cash flows from a loan has occurred.  This evidence may include observable data indicating that there has been an adverse change in the payment status of the borrower.  Management uses estimates based on valuation techniques including the discounted cash flow model.  The inputs to these models are taken from observable markets where possible, but where this is not feasible, a degree of estimation is required.  The estimates include future market interest rates.</w:t>
      </w:r>
    </w:p>
    <w:p w14:paraId="331D457A"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p>
    <w:p w14:paraId="04FF1D36"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t>Impairment of intangible assets</w:t>
      </w:r>
    </w:p>
    <w:p w14:paraId="4A104375"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p>
    <w:p w14:paraId="6CF8CB19" w14:textId="77777777" w:rsidR="00CD0067" w:rsidRPr="001D534D" w:rsidRDefault="00CD0067" w:rsidP="00CD0067">
      <w:pPr>
        <w:pStyle w:val="BodyText"/>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Intangible assets which are available for use and have a definite useful life are assessed for indicators of impairment at the end of each reporting period.  If indicators of impairment exist, the </w:t>
      </w:r>
      <w:r>
        <w:rPr>
          <w:rFonts w:ascii="Times New Roman" w:hAnsi="Times New Roman" w:cs="Times New Roman"/>
          <w:sz w:val="20"/>
          <w:szCs w:val="20"/>
        </w:rPr>
        <w:t>Company</w:t>
      </w:r>
      <w:r w:rsidRPr="001D534D">
        <w:rPr>
          <w:rFonts w:ascii="Times New Roman" w:hAnsi="Times New Roman" w:cs="Times New Roman"/>
          <w:sz w:val="20"/>
          <w:szCs w:val="20"/>
        </w:rPr>
        <w:t xml:space="preserve"> will test those intangible assets for impairment.  The </w:t>
      </w:r>
      <w:r>
        <w:rPr>
          <w:rFonts w:ascii="Times New Roman" w:hAnsi="Times New Roman" w:cs="Times New Roman"/>
          <w:sz w:val="20"/>
          <w:szCs w:val="20"/>
        </w:rPr>
        <w:t>Company</w:t>
      </w:r>
      <w:r w:rsidRPr="001D534D">
        <w:rPr>
          <w:rFonts w:ascii="Times New Roman" w:hAnsi="Times New Roman" w:cs="Times New Roman"/>
          <w:sz w:val="20"/>
          <w:szCs w:val="20"/>
        </w:rPr>
        <w:t xml:space="preserve"> tests intangible assets with an indefinite useful life and intangible assets which are not yet ready for use on an annual basis. Significant judgment is required in determining the useful lives and recoverable amounts of intangible </w:t>
      </w:r>
      <w:proofErr w:type="gramStart"/>
      <w:r w:rsidRPr="001D534D">
        <w:rPr>
          <w:rFonts w:ascii="Times New Roman" w:hAnsi="Times New Roman" w:cs="Times New Roman"/>
          <w:sz w:val="20"/>
          <w:szCs w:val="20"/>
        </w:rPr>
        <w:t>assets, and</w:t>
      </w:r>
      <w:proofErr w:type="gramEnd"/>
      <w:r w:rsidRPr="001D534D">
        <w:rPr>
          <w:rFonts w:ascii="Times New Roman" w:hAnsi="Times New Roman" w:cs="Times New Roman"/>
          <w:sz w:val="20"/>
          <w:szCs w:val="20"/>
        </w:rPr>
        <w:t xml:space="preserve"> assessing whether certain events or circumstances constitute objective evidence of impairment.  Estimates of the recoverable amounts of the intangible assets rely on certain inputs, including future cash flows and discount rates.  Future cash flows are based on revenue projections and allocated costs which are estimated based on forecast results and business initiatives.  Discount rates are based on market interest rates. </w:t>
      </w:r>
    </w:p>
    <w:p w14:paraId="1F9477FE"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p>
    <w:p w14:paraId="1DCC1322"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t>Income taxes</w:t>
      </w:r>
    </w:p>
    <w:p w14:paraId="3906BA3F" w14:textId="77777777" w:rsidR="00CD0067" w:rsidRPr="001D534D" w:rsidRDefault="00CD0067" w:rsidP="00CD0067">
      <w:pPr>
        <w:pStyle w:val="BodyText"/>
        <w:spacing w:after="0" w:line="240" w:lineRule="auto"/>
        <w:jc w:val="both"/>
        <w:rPr>
          <w:rFonts w:ascii="Times New Roman" w:hAnsi="Times New Roman" w:cs="Times New Roman"/>
          <w:b/>
          <w:bCs/>
          <w:sz w:val="20"/>
          <w:szCs w:val="20"/>
        </w:rPr>
      </w:pPr>
    </w:p>
    <w:p w14:paraId="5223D3E2" w14:textId="77777777" w:rsidR="00CD0067"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Income tax expenses recorded in these consolidated financial statements are not final until tax returns are filed and accepted by taxation authorities.  Therefore, results of operations in future reporting periods may be affected by the difference between the income tax expense estimates and the final tax assessments. Estimation of income taxes includes evaluating the recoverability of deferred tax assets based on an assessment of the ability to use the underlying future tax deductions against future taxable income.  The assessment is based on enacted tax acts and estimates of future taxable income.</w:t>
      </w:r>
    </w:p>
    <w:p w14:paraId="43846C81" w14:textId="77777777" w:rsidR="00CD0067" w:rsidRDefault="00CD0067" w:rsidP="00CD0067">
      <w:pPr>
        <w:spacing w:after="0" w:line="240" w:lineRule="auto"/>
        <w:jc w:val="both"/>
        <w:rPr>
          <w:rFonts w:ascii="Times New Roman" w:hAnsi="Times New Roman" w:cs="Times New Roman"/>
          <w:b/>
          <w:bCs/>
          <w:sz w:val="20"/>
          <w:szCs w:val="20"/>
        </w:rPr>
      </w:pPr>
    </w:p>
    <w:p w14:paraId="4A435DD0" w14:textId="77777777" w:rsidR="00CD0067" w:rsidRPr="001D534D" w:rsidRDefault="00CD0067" w:rsidP="00CD0067">
      <w:pPr>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lastRenderedPageBreak/>
        <w:t>Business combinations</w:t>
      </w:r>
    </w:p>
    <w:p w14:paraId="1572E34F" w14:textId="77777777" w:rsidR="00CD0067" w:rsidRPr="001D534D" w:rsidRDefault="00CD0067" w:rsidP="00CD0067">
      <w:pPr>
        <w:spacing w:after="0" w:line="240" w:lineRule="auto"/>
        <w:ind w:left="284"/>
        <w:jc w:val="both"/>
        <w:rPr>
          <w:rFonts w:ascii="Times New Roman" w:hAnsi="Times New Roman" w:cs="Times New Roman"/>
          <w:sz w:val="20"/>
          <w:szCs w:val="20"/>
        </w:rPr>
      </w:pPr>
    </w:p>
    <w:p w14:paraId="73871301" w14:textId="4B76F457" w:rsidR="00CD0067"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Management determines whether assets acquired, and liabilities assumed constitute a business. A business consists of inputs and processes applied to those inputs that </w:t>
      </w:r>
      <w:proofErr w:type="gramStart"/>
      <w:r w:rsidRPr="001D534D">
        <w:rPr>
          <w:rFonts w:ascii="Times New Roman" w:hAnsi="Times New Roman" w:cs="Times New Roman"/>
          <w:sz w:val="20"/>
          <w:szCs w:val="20"/>
        </w:rPr>
        <w:t>have the ability to</w:t>
      </w:r>
      <w:proofErr w:type="gramEnd"/>
      <w:r w:rsidRPr="001D534D">
        <w:rPr>
          <w:rFonts w:ascii="Times New Roman" w:hAnsi="Times New Roman" w:cs="Times New Roman"/>
          <w:sz w:val="20"/>
          <w:szCs w:val="20"/>
        </w:rPr>
        <w:t xml:space="preserve"> create outputs. During the year ended December 31, 2019, the </w:t>
      </w:r>
      <w:r>
        <w:rPr>
          <w:rFonts w:ascii="Times New Roman" w:hAnsi="Times New Roman" w:cs="Times New Roman"/>
          <w:sz w:val="20"/>
          <w:szCs w:val="20"/>
        </w:rPr>
        <w:t>Company</w:t>
      </w:r>
      <w:r w:rsidRPr="001D534D">
        <w:rPr>
          <w:rFonts w:ascii="Times New Roman" w:hAnsi="Times New Roman" w:cs="Times New Roman"/>
          <w:sz w:val="20"/>
          <w:szCs w:val="20"/>
        </w:rPr>
        <w:t xml:space="preserve"> completed the acquisitions of </w:t>
      </w:r>
      <w:r>
        <w:rPr>
          <w:rFonts w:ascii="Times New Roman" w:hAnsi="Times New Roman" w:cs="Times New Roman"/>
          <w:sz w:val="20"/>
          <w:szCs w:val="20"/>
        </w:rPr>
        <w:t xml:space="preserve">100% of the shares of each of </w:t>
      </w:r>
      <w:r w:rsidRPr="001D534D">
        <w:rPr>
          <w:rFonts w:ascii="Times New Roman" w:hAnsi="Times New Roman" w:cs="Times New Roman"/>
          <w:sz w:val="20"/>
          <w:szCs w:val="20"/>
        </w:rPr>
        <w:t>Score-Up and Credit Meds and concluded that each of the transactions did not qualify as business combinations under IFRS 3, “Business Combinations.”</w:t>
      </w:r>
    </w:p>
    <w:p w14:paraId="2D889874" w14:textId="6C4D74BA" w:rsidR="007E18F3" w:rsidRDefault="007E18F3" w:rsidP="00CD0067">
      <w:pPr>
        <w:spacing w:after="0" w:line="240" w:lineRule="auto"/>
        <w:jc w:val="both"/>
        <w:rPr>
          <w:rFonts w:ascii="Times New Roman" w:hAnsi="Times New Roman" w:cs="Times New Roman"/>
          <w:sz w:val="20"/>
          <w:szCs w:val="20"/>
        </w:rPr>
      </w:pPr>
    </w:p>
    <w:p w14:paraId="14D6352E" w14:textId="77777777" w:rsidR="007E18F3" w:rsidRPr="00EB729F" w:rsidRDefault="007E18F3" w:rsidP="007E18F3">
      <w:pPr>
        <w:spacing w:after="0" w:line="240" w:lineRule="auto"/>
        <w:jc w:val="both"/>
        <w:rPr>
          <w:rFonts w:ascii="Times New Roman" w:hAnsi="Times New Roman" w:cs="Times New Roman"/>
          <w:b/>
          <w:bCs/>
          <w:sz w:val="20"/>
          <w:szCs w:val="20"/>
        </w:rPr>
      </w:pPr>
      <w:r w:rsidRPr="00EB729F">
        <w:rPr>
          <w:rFonts w:ascii="Times New Roman" w:hAnsi="Times New Roman" w:cs="Times New Roman"/>
          <w:b/>
          <w:bCs/>
          <w:sz w:val="20"/>
          <w:szCs w:val="20"/>
        </w:rPr>
        <w:t>Purchase price allocation</w:t>
      </w:r>
    </w:p>
    <w:p w14:paraId="78C2DCC8" w14:textId="77777777" w:rsidR="007E18F3" w:rsidRPr="007E18F3" w:rsidRDefault="007E18F3" w:rsidP="007E18F3">
      <w:pPr>
        <w:spacing w:after="0" w:line="240" w:lineRule="auto"/>
        <w:jc w:val="both"/>
        <w:rPr>
          <w:rFonts w:ascii="Times New Roman" w:hAnsi="Times New Roman" w:cs="Times New Roman"/>
          <w:sz w:val="20"/>
          <w:szCs w:val="20"/>
        </w:rPr>
      </w:pPr>
    </w:p>
    <w:p w14:paraId="7283F48F" w14:textId="292D5E77" w:rsidR="007E18F3" w:rsidRPr="001D534D" w:rsidRDefault="007E18F3" w:rsidP="007E18F3">
      <w:pPr>
        <w:spacing w:after="0" w:line="240" w:lineRule="auto"/>
        <w:jc w:val="both"/>
        <w:rPr>
          <w:rFonts w:ascii="Times New Roman" w:hAnsi="Times New Roman" w:cs="Times New Roman"/>
          <w:sz w:val="20"/>
          <w:szCs w:val="20"/>
        </w:rPr>
      </w:pPr>
      <w:r w:rsidRPr="007E18F3">
        <w:rPr>
          <w:rFonts w:ascii="Times New Roman" w:hAnsi="Times New Roman" w:cs="Times New Roman"/>
          <w:sz w:val="20"/>
          <w:szCs w:val="20"/>
        </w:rPr>
        <w:t xml:space="preserve">The acquisition of </w:t>
      </w:r>
      <w:proofErr w:type="spellStart"/>
      <w:r w:rsidRPr="007E18F3">
        <w:rPr>
          <w:rFonts w:ascii="Times New Roman" w:hAnsi="Times New Roman" w:cs="Times New Roman"/>
          <w:sz w:val="20"/>
          <w:szCs w:val="20"/>
        </w:rPr>
        <w:t>Inverite</w:t>
      </w:r>
      <w:proofErr w:type="spellEnd"/>
      <w:r w:rsidRPr="007E18F3">
        <w:rPr>
          <w:rFonts w:ascii="Times New Roman" w:hAnsi="Times New Roman" w:cs="Times New Roman"/>
          <w:sz w:val="20"/>
          <w:szCs w:val="20"/>
        </w:rPr>
        <w:t xml:space="preserve"> on April 12, </w:t>
      </w:r>
      <w:proofErr w:type="gramStart"/>
      <w:r w:rsidRPr="007E18F3">
        <w:rPr>
          <w:rFonts w:ascii="Times New Roman" w:hAnsi="Times New Roman" w:cs="Times New Roman"/>
          <w:sz w:val="20"/>
          <w:szCs w:val="20"/>
        </w:rPr>
        <w:t>2021</w:t>
      </w:r>
      <w:proofErr w:type="gramEnd"/>
      <w:r w:rsidRPr="007E18F3">
        <w:rPr>
          <w:rFonts w:ascii="Times New Roman" w:hAnsi="Times New Roman" w:cs="Times New Roman"/>
          <w:sz w:val="20"/>
          <w:szCs w:val="20"/>
        </w:rPr>
        <w:t xml:space="preserve"> was accounted for as a business combination at fair value in accordance with IFRS 3, “Business Combinations”. The acquired assets and assumed liabilities were adjusted to their fair values assigned through completion of a purchase price allocation. The purchase price allocation process resulting from a business combination requires management to estimate the fair value of identifiable assets acquired including intangible assets and liabilities assumed. The Company relies on work performed by third-party valuation specialists. These valuations are closely linked to the assumptions used by management on the future performance of the related assets and the discount rates applied. As </w:t>
      </w:r>
      <w:proofErr w:type="gramStart"/>
      <w:r w:rsidRPr="007E18F3">
        <w:rPr>
          <w:rFonts w:ascii="Times New Roman" w:hAnsi="Times New Roman" w:cs="Times New Roman"/>
          <w:sz w:val="20"/>
          <w:szCs w:val="20"/>
        </w:rPr>
        <w:t>at</w:t>
      </w:r>
      <w:proofErr w:type="gramEnd"/>
      <w:r w:rsidRPr="007E18F3">
        <w:rPr>
          <w:rFonts w:ascii="Times New Roman" w:hAnsi="Times New Roman" w:cs="Times New Roman"/>
          <w:sz w:val="20"/>
          <w:szCs w:val="20"/>
        </w:rPr>
        <w:t xml:space="preserve"> June 30, 2021 the valuation related to the </w:t>
      </w:r>
      <w:proofErr w:type="spellStart"/>
      <w:r w:rsidRPr="007E18F3">
        <w:rPr>
          <w:rFonts w:ascii="Times New Roman" w:hAnsi="Times New Roman" w:cs="Times New Roman"/>
          <w:sz w:val="20"/>
          <w:szCs w:val="20"/>
        </w:rPr>
        <w:t>Inverite</w:t>
      </w:r>
      <w:proofErr w:type="spellEnd"/>
      <w:r w:rsidRPr="007E18F3">
        <w:rPr>
          <w:rFonts w:ascii="Times New Roman" w:hAnsi="Times New Roman" w:cs="Times New Roman"/>
          <w:sz w:val="20"/>
          <w:szCs w:val="20"/>
        </w:rPr>
        <w:t xml:space="preserve"> acquisition has not yet been finalized.</w:t>
      </w:r>
    </w:p>
    <w:p w14:paraId="1FF10E3E" w14:textId="77777777" w:rsidR="00CD0067" w:rsidRPr="003B5DED" w:rsidRDefault="00CD0067" w:rsidP="00CD0067">
      <w:pPr>
        <w:pStyle w:val="BodyText"/>
        <w:spacing w:after="0" w:line="240" w:lineRule="auto"/>
        <w:jc w:val="both"/>
        <w:rPr>
          <w:rFonts w:ascii="Times New Roman" w:hAnsi="Times New Roman" w:cs="Times New Roman"/>
          <w:b/>
          <w:sz w:val="20"/>
          <w:szCs w:val="20"/>
          <w:highlight w:val="yellow"/>
        </w:rPr>
      </w:pPr>
    </w:p>
    <w:p w14:paraId="7DBC242E" w14:textId="77777777" w:rsidR="00CD0067" w:rsidRPr="001D534D" w:rsidRDefault="00CD0067" w:rsidP="00CD0067">
      <w:pPr>
        <w:pStyle w:val="BodyText"/>
        <w:spacing w:after="0" w:line="240" w:lineRule="auto"/>
        <w:jc w:val="both"/>
        <w:rPr>
          <w:rFonts w:ascii="Times New Roman" w:hAnsi="Times New Roman" w:cs="Times New Roman"/>
          <w:b/>
          <w:sz w:val="20"/>
          <w:szCs w:val="20"/>
        </w:rPr>
      </w:pPr>
      <w:r w:rsidRPr="001D534D">
        <w:rPr>
          <w:rFonts w:ascii="Times New Roman" w:hAnsi="Times New Roman" w:cs="Times New Roman"/>
          <w:b/>
          <w:sz w:val="20"/>
          <w:szCs w:val="20"/>
        </w:rPr>
        <w:t xml:space="preserve">CHANGES IN ACCOUNTING POLICIES </w:t>
      </w:r>
    </w:p>
    <w:p w14:paraId="35C4F9BD" w14:textId="77777777" w:rsidR="00CD0067" w:rsidRPr="001D534D" w:rsidRDefault="00CD0067" w:rsidP="00CD0067">
      <w:pPr>
        <w:spacing w:after="0" w:line="240" w:lineRule="auto"/>
        <w:jc w:val="both"/>
        <w:rPr>
          <w:rFonts w:ascii="Times New Roman" w:hAnsi="Times New Roman" w:cs="Times New Roman"/>
          <w:sz w:val="20"/>
          <w:szCs w:val="20"/>
        </w:rPr>
      </w:pPr>
    </w:p>
    <w:p w14:paraId="60AD9968" w14:textId="3D9A3918" w:rsidR="00CD0067" w:rsidRPr="001D534D"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There were no new accounting policies adopted during the </w:t>
      </w:r>
      <w:r>
        <w:rPr>
          <w:rFonts w:ascii="Times New Roman" w:hAnsi="Times New Roman" w:cs="Times New Roman"/>
          <w:sz w:val="20"/>
          <w:szCs w:val="20"/>
        </w:rPr>
        <w:t xml:space="preserve">period ended </w:t>
      </w:r>
      <w:r w:rsidR="006A4DDD">
        <w:rPr>
          <w:rFonts w:ascii="Times New Roman" w:hAnsi="Times New Roman" w:cs="Times New Roman"/>
          <w:sz w:val="20"/>
          <w:szCs w:val="20"/>
        </w:rPr>
        <w:t>June 30</w:t>
      </w:r>
      <w:r>
        <w:rPr>
          <w:rFonts w:ascii="Times New Roman" w:hAnsi="Times New Roman" w:cs="Times New Roman"/>
          <w:sz w:val="20"/>
          <w:szCs w:val="20"/>
        </w:rPr>
        <w:t>, 2021</w:t>
      </w:r>
      <w:r w:rsidRPr="001D534D">
        <w:rPr>
          <w:rFonts w:ascii="Times New Roman" w:hAnsi="Times New Roman" w:cs="Times New Roman"/>
          <w:sz w:val="20"/>
          <w:szCs w:val="20"/>
        </w:rPr>
        <w:t>.</w:t>
      </w:r>
    </w:p>
    <w:p w14:paraId="4AF9F3A6" w14:textId="63ED3C9D" w:rsidR="00CD0067" w:rsidRPr="001D534D" w:rsidRDefault="00CD0067" w:rsidP="00CD0067">
      <w:pPr>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t>DISCLOSURE CONTROLS AND PROCEDURES</w:t>
      </w:r>
    </w:p>
    <w:p w14:paraId="7205020A" w14:textId="77777777" w:rsidR="00CD0067" w:rsidRPr="001D534D" w:rsidRDefault="00CD0067" w:rsidP="00CD0067">
      <w:pPr>
        <w:spacing w:after="0" w:line="240" w:lineRule="auto"/>
        <w:jc w:val="both"/>
        <w:rPr>
          <w:rFonts w:ascii="Times New Roman" w:hAnsi="Times New Roman" w:cs="Times New Roman"/>
          <w:sz w:val="20"/>
          <w:szCs w:val="20"/>
        </w:rPr>
      </w:pPr>
    </w:p>
    <w:p w14:paraId="452C3890" w14:textId="3B9DBB4A" w:rsidR="00CD0067" w:rsidRPr="001D534D"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Disclosure controls and procedures are intended to provide reasonable assurance that information required to be disclosed is recorded, processed, summarized, and reported within the time periods specified by securities regulations and that the information required to be disclosed is accumulated and communicated to management.  Internal controls over financial reporting are intended to provide reasonable assurance regarding the reliability of financial reporting and the preparation of financial statements for external purposes in accordance with IFRS. In connection with National Instrument 52-109 (Certificate of Disclosure in Issuer’s Annual and Interim Filings) (“NI 52-109”), the Chief Executive Officer and Chief Financial Officer of the </w:t>
      </w:r>
      <w:r>
        <w:rPr>
          <w:rFonts w:ascii="Times New Roman" w:hAnsi="Times New Roman" w:cs="Times New Roman"/>
          <w:sz w:val="20"/>
          <w:szCs w:val="20"/>
        </w:rPr>
        <w:t>Company</w:t>
      </w:r>
      <w:r w:rsidRPr="001D534D">
        <w:rPr>
          <w:rFonts w:ascii="Times New Roman" w:hAnsi="Times New Roman" w:cs="Times New Roman"/>
          <w:sz w:val="20"/>
          <w:szCs w:val="20"/>
        </w:rPr>
        <w:t xml:space="preserve"> have filed a Venture Issuer Basic Certificate with respect to the financial information contained in the financial statements for the </w:t>
      </w:r>
      <w:r w:rsidR="006A4DDD">
        <w:rPr>
          <w:rFonts w:ascii="Times New Roman" w:hAnsi="Times New Roman" w:cs="Times New Roman"/>
          <w:sz w:val="20"/>
          <w:szCs w:val="20"/>
        </w:rPr>
        <w:t>six months</w:t>
      </w:r>
      <w:r w:rsidR="009D02BC">
        <w:rPr>
          <w:rFonts w:ascii="Times New Roman" w:hAnsi="Times New Roman" w:cs="Times New Roman"/>
          <w:sz w:val="20"/>
          <w:szCs w:val="20"/>
        </w:rPr>
        <w:t xml:space="preserve"> </w:t>
      </w:r>
      <w:r w:rsidRPr="001D534D">
        <w:rPr>
          <w:rFonts w:ascii="Times New Roman" w:hAnsi="Times New Roman" w:cs="Times New Roman"/>
          <w:sz w:val="20"/>
          <w:szCs w:val="20"/>
        </w:rPr>
        <w:t xml:space="preserve">ended </w:t>
      </w:r>
      <w:r w:rsidR="006A4DDD">
        <w:rPr>
          <w:rFonts w:ascii="Times New Roman" w:hAnsi="Times New Roman" w:cs="Times New Roman"/>
          <w:sz w:val="20"/>
          <w:szCs w:val="20"/>
        </w:rPr>
        <w:t>June 30</w:t>
      </w:r>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proofErr w:type="gramEnd"/>
      <w:r w:rsidRPr="001D534D">
        <w:rPr>
          <w:rFonts w:ascii="Times New Roman" w:hAnsi="Times New Roman" w:cs="Times New Roman"/>
          <w:sz w:val="20"/>
          <w:szCs w:val="20"/>
        </w:rPr>
        <w:t xml:space="preserve"> and this accompanying MD&amp;A (together, the “Annual Filings”).</w:t>
      </w:r>
    </w:p>
    <w:p w14:paraId="4C82BAC3" w14:textId="77777777" w:rsidR="00CD0067" w:rsidRPr="001D534D" w:rsidRDefault="00CD0067" w:rsidP="00CD0067">
      <w:pPr>
        <w:spacing w:after="0" w:line="240" w:lineRule="auto"/>
        <w:jc w:val="both"/>
        <w:rPr>
          <w:rFonts w:ascii="Times New Roman" w:hAnsi="Times New Roman" w:cs="Times New Roman"/>
          <w:sz w:val="20"/>
          <w:szCs w:val="20"/>
        </w:rPr>
      </w:pPr>
    </w:p>
    <w:p w14:paraId="4E43AB7F" w14:textId="77777777" w:rsidR="00CD0067" w:rsidRPr="001D534D"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In contrast to the full certificate under NI 52-109, the Venture Issuer Basic Certificate does not include representations relating to the establishment and maintenance of disclosure controls and procedures and internal control over financial reporting, as defined in NI 52-109.  For further information the reader should refer to the Venture Issuer Basic Certificates filed by the Company with the Annual Filings on SEDAR at www.sedar.com.</w:t>
      </w:r>
    </w:p>
    <w:p w14:paraId="15170D1E" w14:textId="77777777" w:rsidR="00CD0067" w:rsidRPr="001D534D" w:rsidRDefault="00CD0067" w:rsidP="00CD0067">
      <w:pPr>
        <w:spacing w:after="0" w:line="240" w:lineRule="auto"/>
        <w:jc w:val="both"/>
        <w:rPr>
          <w:rFonts w:ascii="Times New Roman" w:hAnsi="Times New Roman" w:cs="Times New Roman"/>
          <w:sz w:val="20"/>
          <w:szCs w:val="20"/>
        </w:rPr>
      </w:pPr>
    </w:p>
    <w:p w14:paraId="305EF38B" w14:textId="77777777" w:rsidR="00CD0067" w:rsidRPr="001D534D" w:rsidRDefault="00CD0067" w:rsidP="00CD0067">
      <w:pPr>
        <w:spacing w:after="0" w:line="240" w:lineRule="auto"/>
        <w:jc w:val="both"/>
        <w:rPr>
          <w:rFonts w:ascii="Times New Roman" w:hAnsi="Times New Roman" w:cs="Times New Roman"/>
          <w:b/>
          <w:bCs/>
          <w:sz w:val="20"/>
          <w:szCs w:val="20"/>
        </w:rPr>
      </w:pPr>
      <w:r w:rsidRPr="001D534D">
        <w:rPr>
          <w:rFonts w:ascii="Times New Roman" w:hAnsi="Times New Roman" w:cs="Times New Roman"/>
          <w:b/>
          <w:bCs/>
          <w:sz w:val="20"/>
          <w:szCs w:val="20"/>
        </w:rPr>
        <w:t>ADDITIONAL INFORMATION</w:t>
      </w:r>
    </w:p>
    <w:p w14:paraId="45B1E573" w14:textId="77777777" w:rsidR="00CD0067" w:rsidRPr="001D534D" w:rsidRDefault="00CD0067" w:rsidP="00CD0067">
      <w:pPr>
        <w:spacing w:after="0" w:line="240" w:lineRule="auto"/>
        <w:jc w:val="both"/>
        <w:rPr>
          <w:rFonts w:ascii="Times New Roman" w:hAnsi="Times New Roman" w:cs="Times New Roman"/>
          <w:sz w:val="20"/>
          <w:szCs w:val="20"/>
        </w:rPr>
      </w:pPr>
    </w:p>
    <w:p w14:paraId="54BC5155" w14:textId="77777777" w:rsidR="00CD0067" w:rsidRDefault="00CD0067" w:rsidP="00CD0067">
      <w:pPr>
        <w:spacing w:after="0" w:line="240" w:lineRule="auto"/>
        <w:jc w:val="both"/>
        <w:rPr>
          <w:rFonts w:ascii="Times New Roman" w:hAnsi="Times New Roman" w:cs="Times New Roman"/>
          <w:sz w:val="20"/>
          <w:szCs w:val="20"/>
        </w:rPr>
      </w:pPr>
      <w:r w:rsidRPr="001D534D">
        <w:rPr>
          <w:rFonts w:ascii="Times New Roman" w:hAnsi="Times New Roman" w:cs="Times New Roman"/>
          <w:sz w:val="20"/>
          <w:szCs w:val="20"/>
        </w:rPr>
        <w:t xml:space="preserve">Additional information relating to the </w:t>
      </w:r>
      <w:r>
        <w:rPr>
          <w:rFonts w:ascii="Times New Roman" w:hAnsi="Times New Roman" w:cs="Times New Roman"/>
          <w:sz w:val="20"/>
          <w:szCs w:val="20"/>
        </w:rPr>
        <w:t>Company</w:t>
      </w:r>
      <w:r w:rsidRPr="001D534D">
        <w:rPr>
          <w:rFonts w:ascii="Times New Roman" w:hAnsi="Times New Roman" w:cs="Times New Roman"/>
          <w:sz w:val="20"/>
          <w:szCs w:val="20"/>
        </w:rPr>
        <w:t xml:space="preserve"> is available on</w:t>
      </w:r>
      <w:r w:rsidRPr="009558B6">
        <w:rPr>
          <w:rFonts w:ascii="Times New Roman" w:hAnsi="Times New Roman" w:cs="Times New Roman"/>
          <w:sz w:val="20"/>
          <w:szCs w:val="20"/>
        </w:rPr>
        <w:t xml:space="preserve"> SEDAR at www.sedar.com.  </w:t>
      </w:r>
    </w:p>
    <w:p w14:paraId="4C83F670" w14:textId="7DAC13CF" w:rsidR="00262432" w:rsidRDefault="00262432" w:rsidP="00CD0067">
      <w:pPr>
        <w:pStyle w:val="BodyText"/>
        <w:spacing w:after="0" w:line="240" w:lineRule="auto"/>
        <w:jc w:val="both"/>
        <w:rPr>
          <w:rFonts w:ascii="Times New Roman" w:hAnsi="Times New Roman" w:cs="Times New Roman"/>
          <w:sz w:val="20"/>
          <w:szCs w:val="20"/>
        </w:rPr>
      </w:pPr>
    </w:p>
    <w:sectPr w:rsidR="00262432" w:rsidSect="009D6D5E">
      <w:headerReference w:type="default" r:id="rId16"/>
      <w:footerReference w:type="defaul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411C" w14:textId="77777777" w:rsidR="00002729" w:rsidRDefault="00002729">
      <w:pPr>
        <w:spacing w:after="0" w:line="240" w:lineRule="auto"/>
      </w:pPr>
      <w:r>
        <w:separator/>
      </w:r>
    </w:p>
  </w:endnote>
  <w:endnote w:type="continuationSeparator" w:id="0">
    <w:p w14:paraId="4A7DE0D6" w14:textId="77777777" w:rsidR="00002729" w:rsidRDefault="00002729">
      <w:pPr>
        <w:spacing w:after="0" w:line="240" w:lineRule="auto"/>
      </w:pPr>
      <w:r>
        <w:continuationSeparator/>
      </w:r>
    </w:p>
  </w:endnote>
  <w:endnote w:type="continuationNotice" w:id="1">
    <w:p w14:paraId="0565A61F" w14:textId="77777777" w:rsidR="00002729" w:rsidRDefault="00002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64975"/>
      <w:docPartObj>
        <w:docPartGallery w:val="Page Numbers (Bottom of Page)"/>
        <w:docPartUnique/>
      </w:docPartObj>
    </w:sdtPr>
    <w:sdtEndPr>
      <w:rPr>
        <w:rFonts w:ascii="Times New Roman" w:hAnsi="Times New Roman" w:cs="Times New Roman"/>
        <w:b/>
        <w:bCs/>
        <w:noProof/>
        <w:sz w:val="20"/>
        <w:szCs w:val="20"/>
      </w:rPr>
    </w:sdtEndPr>
    <w:sdtContent>
      <w:p w14:paraId="5023A2CA" w14:textId="77777777" w:rsidR="00C42020" w:rsidRPr="00F52DC5" w:rsidRDefault="00C42020" w:rsidP="00F52DC5">
        <w:pPr>
          <w:pStyle w:val="Footer"/>
          <w:jc w:val="center"/>
          <w:rPr>
            <w:rFonts w:ascii="Times New Roman" w:hAnsi="Times New Roman" w:cs="Times New Roman"/>
            <w:b/>
            <w:bCs/>
            <w:sz w:val="20"/>
            <w:szCs w:val="20"/>
          </w:rPr>
        </w:pPr>
        <w:r w:rsidRPr="00F52DC5">
          <w:rPr>
            <w:rFonts w:ascii="Times New Roman" w:hAnsi="Times New Roman" w:cs="Times New Roman"/>
            <w:b/>
            <w:bCs/>
            <w:sz w:val="20"/>
            <w:szCs w:val="20"/>
          </w:rPr>
          <w:fldChar w:fldCharType="begin"/>
        </w:r>
        <w:r w:rsidRPr="00F52DC5">
          <w:rPr>
            <w:rFonts w:ascii="Times New Roman" w:hAnsi="Times New Roman" w:cs="Times New Roman"/>
            <w:b/>
            <w:bCs/>
            <w:sz w:val="20"/>
            <w:szCs w:val="20"/>
          </w:rPr>
          <w:instrText xml:space="preserve"> PAGE   \* MERGEFORMAT </w:instrText>
        </w:r>
        <w:r w:rsidRPr="00F52DC5">
          <w:rPr>
            <w:rFonts w:ascii="Times New Roman" w:hAnsi="Times New Roman" w:cs="Times New Roman"/>
            <w:b/>
            <w:bCs/>
            <w:sz w:val="20"/>
            <w:szCs w:val="20"/>
          </w:rPr>
          <w:fldChar w:fldCharType="separate"/>
        </w:r>
        <w:r w:rsidR="000C0B29">
          <w:rPr>
            <w:rFonts w:ascii="Times New Roman" w:hAnsi="Times New Roman" w:cs="Times New Roman"/>
            <w:b/>
            <w:bCs/>
            <w:noProof/>
            <w:sz w:val="20"/>
            <w:szCs w:val="20"/>
          </w:rPr>
          <w:t>1</w:t>
        </w:r>
        <w:r w:rsidRPr="00F52DC5">
          <w:rPr>
            <w:rFonts w:ascii="Times New Roman" w:hAnsi="Times New Roman" w:cs="Times New Roman"/>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55153856"/>
      <w:docPartObj>
        <w:docPartGallery w:val="Page Numbers (Bottom of Page)"/>
        <w:docPartUnique/>
      </w:docPartObj>
    </w:sdtPr>
    <w:sdtEndPr>
      <w:rPr>
        <w:noProof/>
      </w:rPr>
    </w:sdtEndPr>
    <w:sdtContent>
      <w:p w14:paraId="06E8A028" w14:textId="4381F775" w:rsidR="00C42020" w:rsidRPr="00665759" w:rsidRDefault="00C42020">
        <w:pPr>
          <w:pStyle w:val="Footer"/>
          <w:rPr>
            <w:rFonts w:ascii="Times New Roman" w:hAnsi="Times New Roman" w:cs="Times New Roman"/>
            <w:sz w:val="20"/>
            <w:szCs w:val="20"/>
          </w:rPr>
        </w:pPr>
        <w:r w:rsidRPr="00665759">
          <w:rPr>
            <w:rFonts w:ascii="Times New Roman" w:hAnsi="Times New Roman" w:cs="Times New Roman"/>
            <w:sz w:val="20"/>
            <w:szCs w:val="20"/>
          </w:rPr>
          <w:t xml:space="preserve">Page | </w:t>
        </w:r>
        <w:r w:rsidRPr="00665759">
          <w:rPr>
            <w:rFonts w:ascii="Times New Roman" w:hAnsi="Times New Roman" w:cs="Times New Roman"/>
            <w:sz w:val="20"/>
            <w:szCs w:val="20"/>
          </w:rPr>
          <w:fldChar w:fldCharType="begin"/>
        </w:r>
        <w:r w:rsidRPr="00665759">
          <w:rPr>
            <w:rFonts w:ascii="Times New Roman" w:hAnsi="Times New Roman" w:cs="Times New Roman"/>
            <w:sz w:val="20"/>
            <w:szCs w:val="20"/>
          </w:rPr>
          <w:instrText xml:space="preserve"> PAGE   \* MERGEFORMAT </w:instrText>
        </w:r>
        <w:r w:rsidRPr="00665759">
          <w:rPr>
            <w:rFonts w:ascii="Times New Roman" w:hAnsi="Times New Roman" w:cs="Times New Roman"/>
            <w:sz w:val="20"/>
            <w:szCs w:val="20"/>
          </w:rPr>
          <w:fldChar w:fldCharType="separate"/>
        </w:r>
        <w:r w:rsidRPr="00665759">
          <w:rPr>
            <w:rFonts w:ascii="Times New Roman" w:hAnsi="Times New Roman" w:cs="Times New Roman"/>
            <w:noProof/>
            <w:sz w:val="20"/>
            <w:szCs w:val="20"/>
          </w:rPr>
          <w:t>2</w:t>
        </w:r>
        <w:r w:rsidRPr="00665759">
          <w:rPr>
            <w:rFonts w:ascii="Times New Roman" w:hAnsi="Times New Roman" w:cs="Times New Roman"/>
            <w:noProof/>
            <w:sz w:val="20"/>
            <w:szCs w:val="20"/>
          </w:rPr>
          <w:fldChar w:fldCharType="end"/>
        </w:r>
      </w:p>
    </w:sdtContent>
  </w:sdt>
  <w:p w14:paraId="4F54DBAF" w14:textId="77777777" w:rsidR="00C42020" w:rsidRPr="00665759" w:rsidRDefault="00C4202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B69C" w14:textId="77777777" w:rsidR="00002729" w:rsidRDefault="00002729">
      <w:pPr>
        <w:spacing w:after="0" w:line="240" w:lineRule="auto"/>
      </w:pPr>
      <w:r>
        <w:separator/>
      </w:r>
    </w:p>
  </w:footnote>
  <w:footnote w:type="continuationSeparator" w:id="0">
    <w:p w14:paraId="27CD1C68" w14:textId="77777777" w:rsidR="00002729" w:rsidRDefault="00002729">
      <w:pPr>
        <w:spacing w:after="0" w:line="240" w:lineRule="auto"/>
      </w:pPr>
      <w:r>
        <w:continuationSeparator/>
      </w:r>
    </w:p>
  </w:footnote>
  <w:footnote w:type="continuationNotice" w:id="1">
    <w:p w14:paraId="0593B713" w14:textId="77777777" w:rsidR="00002729" w:rsidRDefault="00002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343" w14:textId="77777777" w:rsidR="00002729" w:rsidRDefault="00002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067"/>
    <w:multiLevelType w:val="hybridMultilevel"/>
    <w:tmpl w:val="180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624D"/>
    <w:multiLevelType w:val="hybridMultilevel"/>
    <w:tmpl w:val="E572C9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E54DE1"/>
    <w:multiLevelType w:val="hybridMultilevel"/>
    <w:tmpl w:val="0BE83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84586"/>
    <w:multiLevelType w:val="hybridMultilevel"/>
    <w:tmpl w:val="72129338"/>
    <w:lvl w:ilvl="0" w:tplc="20E8E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465CFE"/>
    <w:multiLevelType w:val="hybridMultilevel"/>
    <w:tmpl w:val="A0C6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EA1696"/>
    <w:multiLevelType w:val="hybridMultilevel"/>
    <w:tmpl w:val="6BF878E4"/>
    <w:lvl w:ilvl="0" w:tplc="051AF9BA">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77B5ED8"/>
    <w:multiLevelType w:val="hybridMultilevel"/>
    <w:tmpl w:val="8D62618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 w15:restartNumberingAfterBreak="0">
    <w:nsid w:val="2B1D391F"/>
    <w:multiLevelType w:val="hybridMultilevel"/>
    <w:tmpl w:val="2A3A3B74"/>
    <w:lvl w:ilvl="0" w:tplc="15D85976">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9C28F5"/>
    <w:multiLevelType w:val="hybridMultilevel"/>
    <w:tmpl w:val="E556D4B6"/>
    <w:lvl w:ilvl="0" w:tplc="DC203FA6">
      <w:start w:val="1"/>
      <w:numFmt w:val="bullet"/>
      <w:lvlText w:val=""/>
      <w:lvlJc w:val="left"/>
      <w:pPr>
        <w:ind w:left="540" w:hanging="360"/>
      </w:pPr>
      <w:rPr>
        <w:rFonts w:ascii="Symbol" w:hAnsi="Symbol" w:hint="default"/>
        <w:sz w:val="22"/>
        <w:szCs w:val="22"/>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15:restartNumberingAfterBreak="0">
    <w:nsid w:val="3EDF3810"/>
    <w:multiLevelType w:val="hybridMultilevel"/>
    <w:tmpl w:val="E69C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8A21BD"/>
    <w:multiLevelType w:val="hybridMultilevel"/>
    <w:tmpl w:val="1C0EA7C0"/>
    <w:lvl w:ilvl="0" w:tplc="011605E4">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tentative="1">
      <w:start w:val="1"/>
      <w:numFmt w:val="bullet"/>
      <w:lvlText w:val=""/>
      <w:lvlJc w:val="left"/>
      <w:pPr>
        <w:ind w:left="2455" w:hanging="360"/>
      </w:pPr>
      <w:rPr>
        <w:rFonts w:ascii="Symbol" w:hAnsi="Symbol" w:hint="default"/>
      </w:rPr>
    </w:lvl>
    <w:lvl w:ilvl="4" w:tplc="10090003" w:tentative="1">
      <w:start w:val="1"/>
      <w:numFmt w:val="bullet"/>
      <w:lvlText w:val="o"/>
      <w:lvlJc w:val="left"/>
      <w:pPr>
        <w:ind w:left="3175" w:hanging="360"/>
      </w:pPr>
      <w:rPr>
        <w:rFonts w:ascii="Courier New" w:hAnsi="Courier New" w:cs="Courier New" w:hint="default"/>
      </w:rPr>
    </w:lvl>
    <w:lvl w:ilvl="5" w:tplc="10090005" w:tentative="1">
      <w:start w:val="1"/>
      <w:numFmt w:val="bullet"/>
      <w:lvlText w:val=""/>
      <w:lvlJc w:val="left"/>
      <w:pPr>
        <w:ind w:left="3895" w:hanging="360"/>
      </w:pPr>
      <w:rPr>
        <w:rFonts w:ascii="Wingdings" w:hAnsi="Wingdings" w:hint="default"/>
      </w:rPr>
    </w:lvl>
    <w:lvl w:ilvl="6" w:tplc="10090001" w:tentative="1">
      <w:start w:val="1"/>
      <w:numFmt w:val="bullet"/>
      <w:lvlText w:val=""/>
      <w:lvlJc w:val="left"/>
      <w:pPr>
        <w:ind w:left="4615" w:hanging="360"/>
      </w:pPr>
      <w:rPr>
        <w:rFonts w:ascii="Symbol" w:hAnsi="Symbol" w:hint="default"/>
      </w:rPr>
    </w:lvl>
    <w:lvl w:ilvl="7" w:tplc="10090003" w:tentative="1">
      <w:start w:val="1"/>
      <w:numFmt w:val="bullet"/>
      <w:lvlText w:val="o"/>
      <w:lvlJc w:val="left"/>
      <w:pPr>
        <w:ind w:left="5335" w:hanging="360"/>
      </w:pPr>
      <w:rPr>
        <w:rFonts w:ascii="Courier New" w:hAnsi="Courier New" w:cs="Courier New" w:hint="default"/>
      </w:rPr>
    </w:lvl>
    <w:lvl w:ilvl="8" w:tplc="10090005" w:tentative="1">
      <w:start w:val="1"/>
      <w:numFmt w:val="bullet"/>
      <w:lvlText w:val=""/>
      <w:lvlJc w:val="left"/>
      <w:pPr>
        <w:ind w:left="6055" w:hanging="360"/>
      </w:pPr>
      <w:rPr>
        <w:rFonts w:ascii="Wingdings" w:hAnsi="Wingdings" w:hint="default"/>
      </w:rPr>
    </w:lvl>
  </w:abstractNum>
  <w:abstractNum w:abstractNumId="11" w15:restartNumberingAfterBreak="0">
    <w:nsid w:val="4F3E5167"/>
    <w:multiLevelType w:val="hybridMultilevel"/>
    <w:tmpl w:val="13449B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BC63DA"/>
    <w:multiLevelType w:val="hybridMultilevel"/>
    <w:tmpl w:val="C5A0337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C14B28"/>
    <w:multiLevelType w:val="hybridMultilevel"/>
    <w:tmpl w:val="62ACF5E2"/>
    <w:lvl w:ilvl="0" w:tplc="A26A6A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BB249D"/>
    <w:multiLevelType w:val="hybridMultilevel"/>
    <w:tmpl w:val="B2C8406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14"/>
  </w:num>
  <w:num w:numId="6">
    <w:abstractNumId w:val="5"/>
  </w:num>
  <w:num w:numId="7">
    <w:abstractNumId w:val="11"/>
  </w:num>
  <w:num w:numId="8">
    <w:abstractNumId w:val="12"/>
  </w:num>
  <w:num w:numId="9">
    <w:abstractNumId w:val="1"/>
  </w:num>
  <w:num w:numId="10">
    <w:abstractNumId w:val="6"/>
  </w:num>
  <w:num w:numId="11">
    <w:abstractNumId w:val="2"/>
  </w:num>
  <w:num w:numId="12">
    <w:abstractNumId w:val="4"/>
  </w:num>
  <w:num w:numId="13">
    <w:abstractNumId w:val="13"/>
  </w:num>
  <w:num w:numId="14">
    <w:abstractNumId w:val="7"/>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1"/>
    <w:rsid w:val="000010D0"/>
    <w:rsid w:val="00002729"/>
    <w:rsid w:val="0000350F"/>
    <w:rsid w:val="00003E98"/>
    <w:rsid w:val="000052D6"/>
    <w:rsid w:val="00005FD7"/>
    <w:rsid w:val="00006C5E"/>
    <w:rsid w:val="00007C4C"/>
    <w:rsid w:val="0001014F"/>
    <w:rsid w:val="00012485"/>
    <w:rsid w:val="00014A13"/>
    <w:rsid w:val="00017621"/>
    <w:rsid w:val="00023F0D"/>
    <w:rsid w:val="00026B20"/>
    <w:rsid w:val="000274A7"/>
    <w:rsid w:val="00031F83"/>
    <w:rsid w:val="000371A9"/>
    <w:rsid w:val="00041D2C"/>
    <w:rsid w:val="000439B9"/>
    <w:rsid w:val="00043AE7"/>
    <w:rsid w:val="00044E22"/>
    <w:rsid w:val="000452F0"/>
    <w:rsid w:val="00046BC5"/>
    <w:rsid w:val="00047114"/>
    <w:rsid w:val="000618C6"/>
    <w:rsid w:val="00064C34"/>
    <w:rsid w:val="0006642B"/>
    <w:rsid w:val="0006706B"/>
    <w:rsid w:val="00070692"/>
    <w:rsid w:val="00081889"/>
    <w:rsid w:val="0008356B"/>
    <w:rsid w:val="00087541"/>
    <w:rsid w:val="0009075D"/>
    <w:rsid w:val="000910EC"/>
    <w:rsid w:val="000931F7"/>
    <w:rsid w:val="00093EB8"/>
    <w:rsid w:val="000944CB"/>
    <w:rsid w:val="000948C7"/>
    <w:rsid w:val="00094EB8"/>
    <w:rsid w:val="00095831"/>
    <w:rsid w:val="000A0F9B"/>
    <w:rsid w:val="000A11DA"/>
    <w:rsid w:val="000A1339"/>
    <w:rsid w:val="000A309F"/>
    <w:rsid w:val="000A4D6C"/>
    <w:rsid w:val="000A5932"/>
    <w:rsid w:val="000B0122"/>
    <w:rsid w:val="000B2D73"/>
    <w:rsid w:val="000B364D"/>
    <w:rsid w:val="000B3BCB"/>
    <w:rsid w:val="000B4628"/>
    <w:rsid w:val="000B69C2"/>
    <w:rsid w:val="000B7F92"/>
    <w:rsid w:val="000C0B29"/>
    <w:rsid w:val="000C77C5"/>
    <w:rsid w:val="000D38D5"/>
    <w:rsid w:val="000E37D4"/>
    <w:rsid w:val="000E39AD"/>
    <w:rsid w:val="000E5143"/>
    <w:rsid w:val="000F7306"/>
    <w:rsid w:val="000F76CD"/>
    <w:rsid w:val="00102AB4"/>
    <w:rsid w:val="00106191"/>
    <w:rsid w:val="0011133F"/>
    <w:rsid w:val="00112DCE"/>
    <w:rsid w:val="0012068D"/>
    <w:rsid w:val="00121551"/>
    <w:rsid w:val="00122C70"/>
    <w:rsid w:val="00122CCD"/>
    <w:rsid w:val="00123E1E"/>
    <w:rsid w:val="00130A73"/>
    <w:rsid w:val="00130BA5"/>
    <w:rsid w:val="00134769"/>
    <w:rsid w:val="0013585C"/>
    <w:rsid w:val="0013591F"/>
    <w:rsid w:val="00143932"/>
    <w:rsid w:val="00146DAC"/>
    <w:rsid w:val="00147440"/>
    <w:rsid w:val="00152CB9"/>
    <w:rsid w:val="0015570E"/>
    <w:rsid w:val="00164930"/>
    <w:rsid w:val="00165C7D"/>
    <w:rsid w:val="001665A3"/>
    <w:rsid w:val="001674ED"/>
    <w:rsid w:val="00171C16"/>
    <w:rsid w:val="0017339E"/>
    <w:rsid w:val="00177725"/>
    <w:rsid w:val="001806B0"/>
    <w:rsid w:val="001815C8"/>
    <w:rsid w:val="00182D0C"/>
    <w:rsid w:val="001856B2"/>
    <w:rsid w:val="0019168B"/>
    <w:rsid w:val="00193207"/>
    <w:rsid w:val="0019371B"/>
    <w:rsid w:val="00194587"/>
    <w:rsid w:val="00194A44"/>
    <w:rsid w:val="00194A88"/>
    <w:rsid w:val="001A0AE8"/>
    <w:rsid w:val="001A3208"/>
    <w:rsid w:val="001A58C5"/>
    <w:rsid w:val="001A614F"/>
    <w:rsid w:val="001A66DD"/>
    <w:rsid w:val="001A75B6"/>
    <w:rsid w:val="001B5112"/>
    <w:rsid w:val="001C6489"/>
    <w:rsid w:val="001D217C"/>
    <w:rsid w:val="001D5D6E"/>
    <w:rsid w:val="001E090A"/>
    <w:rsid w:val="001E14A9"/>
    <w:rsid w:val="001E1901"/>
    <w:rsid w:val="001E54F4"/>
    <w:rsid w:val="001E5BB4"/>
    <w:rsid w:val="001E77F3"/>
    <w:rsid w:val="001F36C6"/>
    <w:rsid w:val="001F49C3"/>
    <w:rsid w:val="0020096B"/>
    <w:rsid w:val="00201700"/>
    <w:rsid w:val="002029C0"/>
    <w:rsid w:val="00204B23"/>
    <w:rsid w:val="00212DAE"/>
    <w:rsid w:val="00216A63"/>
    <w:rsid w:val="00216BF8"/>
    <w:rsid w:val="002206B9"/>
    <w:rsid w:val="00227F9E"/>
    <w:rsid w:val="00227FAC"/>
    <w:rsid w:val="00231154"/>
    <w:rsid w:val="00231D59"/>
    <w:rsid w:val="0023213A"/>
    <w:rsid w:val="00236E66"/>
    <w:rsid w:val="002440B4"/>
    <w:rsid w:val="00244952"/>
    <w:rsid w:val="00246275"/>
    <w:rsid w:val="0024640E"/>
    <w:rsid w:val="00247416"/>
    <w:rsid w:val="002474A2"/>
    <w:rsid w:val="002505EE"/>
    <w:rsid w:val="00251DA7"/>
    <w:rsid w:val="00252642"/>
    <w:rsid w:val="0025274B"/>
    <w:rsid w:val="00252BE1"/>
    <w:rsid w:val="00253057"/>
    <w:rsid w:val="00254F74"/>
    <w:rsid w:val="00254FBE"/>
    <w:rsid w:val="00261401"/>
    <w:rsid w:val="00262432"/>
    <w:rsid w:val="002631DE"/>
    <w:rsid w:val="00263321"/>
    <w:rsid w:val="00264753"/>
    <w:rsid w:val="0027034E"/>
    <w:rsid w:val="00270D65"/>
    <w:rsid w:val="00274211"/>
    <w:rsid w:val="00274C42"/>
    <w:rsid w:val="00275A5D"/>
    <w:rsid w:val="00282D41"/>
    <w:rsid w:val="00283D4D"/>
    <w:rsid w:val="00285059"/>
    <w:rsid w:val="00285488"/>
    <w:rsid w:val="002873F8"/>
    <w:rsid w:val="0029063D"/>
    <w:rsid w:val="002908AD"/>
    <w:rsid w:val="0029090B"/>
    <w:rsid w:val="00297B59"/>
    <w:rsid w:val="002A1380"/>
    <w:rsid w:val="002A42C6"/>
    <w:rsid w:val="002A49D2"/>
    <w:rsid w:val="002A6793"/>
    <w:rsid w:val="002A7B87"/>
    <w:rsid w:val="002B05B2"/>
    <w:rsid w:val="002B7957"/>
    <w:rsid w:val="002C0825"/>
    <w:rsid w:val="002C0C1E"/>
    <w:rsid w:val="002C111E"/>
    <w:rsid w:val="002C1921"/>
    <w:rsid w:val="002C1B16"/>
    <w:rsid w:val="002C2BE7"/>
    <w:rsid w:val="002C43C7"/>
    <w:rsid w:val="002C51FD"/>
    <w:rsid w:val="002C5A19"/>
    <w:rsid w:val="002C783B"/>
    <w:rsid w:val="002D4B8C"/>
    <w:rsid w:val="002D63CF"/>
    <w:rsid w:val="002E24BF"/>
    <w:rsid w:val="002E5BDD"/>
    <w:rsid w:val="002E6029"/>
    <w:rsid w:val="002F1C4B"/>
    <w:rsid w:val="002F1FAD"/>
    <w:rsid w:val="002F29C0"/>
    <w:rsid w:val="002F354F"/>
    <w:rsid w:val="002F6506"/>
    <w:rsid w:val="002F65E8"/>
    <w:rsid w:val="002F6883"/>
    <w:rsid w:val="0030134E"/>
    <w:rsid w:val="00306F14"/>
    <w:rsid w:val="00312B7C"/>
    <w:rsid w:val="0031343D"/>
    <w:rsid w:val="00314AD6"/>
    <w:rsid w:val="00314EF7"/>
    <w:rsid w:val="003167B5"/>
    <w:rsid w:val="00317FBB"/>
    <w:rsid w:val="00320446"/>
    <w:rsid w:val="00320A33"/>
    <w:rsid w:val="0032731D"/>
    <w:rsid w:val="003277B2"/>
    <w:rsid w:val="003359C9"/>
    <w:rsid w:val="00340274"/>
    <w:rsid w:val="003409F5"/>
    <w:rsid w:val="00342D22"/>
    <w:rsid w:val="00343598"/>
    <w:rsid w:val="0034510C"/>
    <w:rsid w:val="0034635B"/>
    <w:rsid w:val="00357968"/>
    <w:rsid w:val="003600F2"/>
    <w:rsid w:val="003604C9"/>
    <w:rsid w:val="003625AF"/>
    <w:rsid w:val="00365928"/>
    <w:rsid w:val="003716BE"/>
    <w:rsid w:val="00372059"/>
    <w:rsid w:val="00374887"/>
    <w:rsid w:val="00385684"/>
    <w:rsid w:val="00390FF4"/>
    <w:rsid w:val="00392A70"/>
    <w:rsid w:val="003934C2"/>
    <w:rsid w:val="003966FE"/>
    <w:rsid w:val="003A28BC"/>
    <w:rsid w:val="003A4BEB"/>
    <w:rsid w:val="003A5309"/>
    <w:rsid w:val="003B0598"/>
    <w:rsid w:val="003B0C5B"/>
    <w:rsid w:val="003B31E1"/>
    <w:rsid w:val="003C1C09"/>
    <w:rsid w:val="003C5B3D"/>
    <w:rsid w:val="003C62F6"/>
    <w:rsid w:val="003D252D"/>
    <w:rsid w:val="003D300B"/>
    <w:rsid w:val="003D465C"/>
    <w:rsid w:val="003D65FD"/>
    <w:rsid w:val="003D68E7"/>
    <w:rsid w:val="003E3D3A"/>
    <w:rsid w:val="003F04CD"/>
    <w:rsid w:val="003F19F7"/>
    <w:rsid w:val="003F1A2D"/>
    <w:rsid w:val="003F31A7"/>
    <w:rsid w:val="003F7B8C"/>
    <w:rsid w:val="00400181"/>
    <w:rsid w:val="00401080"/>
    <w:rsid w:val="004026D6"/>
    <w:rsid w:val="0040474E"/>
    <w:rsid w:val="004152DC"/>
    <w:rsid w:val="00417D40"/>
    <w:rsid w:val="00421CBE"/>
    <w:rsid w:val="00422562"/>
    <w:rsid w:val="00422C56"/>
    <w:rsid w:val="00423BC6"/>
    <w:rsid w:val="004269B3"/>
    <w:rsid w:val="004269DA"/>
    <w:rsid w:val="004272B3"/>
    <w:rsid w:val="004301A9"/>
    <w:rsid w:val="00431D93"/>
    <w:rsid w:val="0043271C"/>
    <w:rsid w:val="00434F93"/>
    <w:rsid w:val="00435605"/>
    <w:rsid w:val="004459D9"/>
    <w:rsid w:val="00452E6E"/>
    <w:rsid w:val="0045474D"/>
    <w:rsid w:val="00455262"/>
    <w:rsid w:val="004562F2"/>
    <w:rsid w:val="004576B7"/>
    <w:rsid w:val="004727DE"/>
    <w:rsid w:val="00473DEB"/>
    <w:rsid w:val="004761DE"/>
    <w:rsid w:val="00476289"/>
    <w:rsid w:val="00476FEC"/>
    <w:rsid w:val="0047782D"/>
    <w:rsid w:val="00481D7B"/>
    <w:rsid w:val="00490705"/>
    <w:rsid w:val="00496171"/>
    <w:rsid w:val="004976AD"/>
    <w:rsid w:val="004A0061"/>
    <w:rsid w:val="004A1147"/>
    <w:rsid w:val="004A3451"/>
    <w:rsid w:val="004A5C01"/>
    <w:rsid w:val="004A79F9"/>
    <w:rsid w:val="004A7D03"/>
    <w:rsid w:val="004B3FBC"/>
    <w:rsid w:val="004C0292"/>
    <w:rsid w:val="004C27B7"/>
    <w:rsid w:val="004C2887"/>
    <w:rsid w:val="004C2FE1"/>
    <w:rsid w:val="004C34BE"/>
    <w:rsid w:val="004C3A73"/>
    <w:rsid w:val="004C7C04"/>
    <w:rsid w:val="004D5A62"/>
    <w:rsid w:val="004D6288"/>
    <w:rsid w:val="004E072D"/>
    <w:rsid w:val="004E3749"/>
    <w:rsid w:val="004E4CE7"/>
    <w:rsid w:val="004E54FC"/>
    <w:rsid w:val="004E5AD6"/>
    <w:rsid w:val="004E6A9C"/>
    <w:rsid w:val="004E6FB7"/>
    <w:rsid w:val="004F06AC"/>
    <w:rsid w:val="004F0C59"/>
    <w:rsid w:val="004F0ED7"/>
    <w:rsid w:val="004F1B96"/>
    <w:rsid w:val="004F3476"/>
    <w:rsid w:val="004F65E7"/>
    <w:rsid w:val="00502207"/>
    <w:rsid w:val="00504827"/>
    <w:rsid w:val="00507796"/>
    <w:rsid w:val="005147FA"/>
    <w:rsid w:val="00514939"/>
    <w:rsid w:val="0052065D"/>
    <w:rsid w:val="00524C34"/>
    <w:rsid w:val="00524F55"/>
    <w:rsid w:val="005264A7"/>
    <w:rsid w:val="00527336"/>
    <w:rsid w:val="00532CD5"/>
    <w:rsid w:val="00533B93"/>
    <w:rsid w:val="0053648F"/>
    <w:rsid w:val="00537674"/>
    <w:rsid w:val="005406A5"/>
    <w:rsid w:val="0054087E"/>
    <w:rsid w:val="00541048"/>
    <w:rsid w:val="00542524"/>
    <w:rsid w:val="00546C37"/>
    <w:rsid w:val="00547271"/>
    <w:rsid w:val="00560C53"/>
    <w:rsid w:val="00564249"/>
    <w:rsid w:val="00566F13"/>
    <w:rsid w:val="00571BFC"/>
    <w:rsid w:val="00572B35"/>
    <w:rsid w:val="00572F7E"/>
    <w:rsid w:val="005732F6"/>
    <w:rsid w:val="005747BD"/>
    <w:rsid w:val="005768DF"/>
    <w:rsid w:val="005777E9"/>
    <w:rsid w:val="00590A4C"/>
    <w:rsid w:val="005A054A"/>
    <w:rsid w:val="005A107D"/>
    <w:rsid w:val="005A118F"/>
    <w:rsid w:val="005A1807"/>
    <w:rsid w:val="005A1AF9"/>
    <w:rsid w:val="005B1200"/>
    <w:rsid w:val="005B4275"/>
    <w:rsid w:val="005B6502"/>
    <w:rsid w:val="005B7544"/>
    <w:rsid w:val="005C079A"/>
    <w:rsid w:val="005C0BE7"/>
    <w:rsid w:val="005C2F19"/>
    <w:rsid w:val="005C36E0"/>
    <w:rsid w:val="005C3AB3"/>
    <w:rsid w:val="005C4893"/>
    <w:rsid w:val="005C6A9E"/>
    <w:rsid w:val="005D4D6D"/>
    <w:rsid w:val="005D6F43"/>
    <w:rsid w:val="005E06C7"/>
    <w:rsid w:val="005E0C9C"/>
    <w:rsid w:val="005E1174"/>
    <w:rsid w:val="005E1CD5"/>
    <w:rsid w:val="005F3E81"/>
    <w:rsid w:val="005F584A"/>
    <w:rsid w:val="006005E4"/>
    <w:rsid w:val="0060233D"/>
    <w:rsid w:val="006046E0"/>
    <w:rsid w:val="00606E63"/>
    <w:rsid w:val="00607DD2"/>
    <w:rsid w:val="00612CE1"/>
    <w:rsid w:val="006131E2"/>
    <w:rsid w:val="00613A18"/>
    <w:rsid w:val="00614EBC"/>
    <w:rsid w:val="00615357"/>
    <w:rsid w:val="00615D3C"/>
    <w:rsid w:val="0062787D"/>
    <w:rsid w:val="0063523F"/>
    <w:rsid w:val="00637FAC"/>
    <w:rsid w:val="00642B47"/>
    <w:rsid w:val="00643367"/>
    <w:rsid w:val="00643554"/>
    <w:rsid w:val="006464C2"/>
    <w:rsid w:val="006464FB"/>
    <w:rsid w:val="00654E02"/>
    <w:rsid w:val="00661A74"/>
    <w:rsid w:val="006634F0"/>
    <w:rsid w:val="00665759"/>
    <w:rsid w:val="00667D9B"/>
    <w:rsid w:val="006700B9"/>
    <w:rsid w:val="006714F6"/>
    <w:rsid w:val="00672D39"/>
    <w:rsid w:val="0067504B"/>
    <w:rsid w:val="00681689"/>
    <w:rsid w:val="006826D2"/>
    <w:rsid w:val="00694AC3"/>
    <w:rsid w:val="0069510D"/>
    <w:rsid w:val="00695491"/>
    <w:rsid w:val="00695CF6"/>
    <w:rsid w:val="00697712"/>
    <w:rsid w:val="006A0313"/>
    <w:rsid w:val="006A2FEC"/>
    <w:rsid w:val="006A4DDD"/>
    <w:rsid w:val="006B087E"/>
    <w:rsid w:val="006B6DB4"/>
    <w:rsid w:val="006B7296"/>
    <w:rsid w:val="006C3860"/>
    <w:rsid w:val="006C5D04"/>
    <w:rsid w:val="006C6FBA"/>
    <w:rsid w:val="006D40D7"/>
    <w:rsid w:val="006D4449"/>
    <w:rsid w:val="006D7D04"/>
    <w:rsid w:val="006E2DDB"/>
    <w:rsid w:val="006E7B76"/>
    <w:rsid w:val="006F0475"/>
    <w:rsid w:val="006F04C2"/>
    <w:rsid w:val="006F210E"/>
    <w:rsid w:val="006F2DDE"/>
    <w:rsid w:val="006F3E21"/>
    <w:rsid w:val="006F43DF"/>
    <w:rsid w:val="006F6EF3"/>
    <w:rsid w:val="006F7929"/>
    <w:rsid w:val="007104F1"/>
    <w:rsid w:val="0071284B"/>
    <w:rsid w:val="00721A58"/>
    <w:rsid w:val="007225FD"/>
    <w:rsid w:val="00724406"/>
    <w:rsid w:val="0073012F"/>
    <w:rsid w:val="00730238"/>
    <w:rsid w:val="00731F61"/>
    <w:rsid w:val="007334F2"/>
    <w:rsid w:val="00737F88"/>
    <w:rsid w:val="00751C60"/>
    <w:rsid w:val="00753BA3"/>
    <w:rsid w:val="0075538B"/>
    <w:rsid w:val="00755EB0"/>
    <w:rsid w:val="00763BFA"/>
    <w:rsid w:val="007708D9"/>
    <w:rsid w:val="00771F16"/>
    <w:rsid w:val="00772910"/>
    <w:rsid w:val="00776CA2"/>
    <w:rsid w:val="0078294C"/>
    <w:rsid w:val="007879A3"/>
    <w:rsid w:val="00792E4F"/>
    <w:rsid w:val="00794644"/>
    <w:rsid w:val="00795AD0"/>
    <w:rsid w:val="00797359"/>
    <w:rsid w:val="007A1B30"/>
    <w:rsid w:val="007A7A91"/>
    <w:rsid w:val="007B0B83"/>
    <w:rsid w:val="007B23C0"/>
    <w:rsid w:val="007B42C5"/>
    <w:rsid w:val="007B497F"/>
    <w:rsid w:val="007C1D92"/>
    <w:rsid w:val="007C3800"/>
    <w:rsid w:val="007C541D"/>
    <w:rsid w:val="007C5687"/>
    <w:rsid w:val="007C65B8"/>
    <w:rsid w:val="007C6A07"/>
    <w:rsid w:val="007D52A3"/>
    <w:rsid w:val="007D619D"/>
    <w:rsid w:val="007E025B"/>
    <w:rsid w:val="007E18F3"/>
    <w:rsid w:val="007E1949"/>
    <w:rsid w:val="007F02BA"/>
    <w:rsid w:val="007F15FD"/>
    <w:rsid w:val="007F2BBA"/>
    <w:rsid w:val="007F6D53"/>
    <w:rsid w:val="00800069"/>
    <w:rsid w:val="008011F1"/>
    <w:rsid w:val="00803161"/>
    <w:rsid w:val="00805A0F"/>
    <w:rsid w:val="00806A27"/>
    <w:rsid w:val="00806A8D"/>
    <w:rsid w:val="00807A16"/>
    <w:rsid w:val="00807D94"/>
    <w:rsid w:val="00811ED8"/>
    <w:rsid w:val="00814E39"/>
    <w:rsid w:val="00816EAD"/>
    <w:rsid w:val="0082468E"/>
    <w:rsid w:val="00826DE5"/>
    <w:rsid w:val="00833371"/>
    <w:rsid w:val="00843272"/>
    <w:rsid w:val="008453E7"/>
    <w:rsid w:val="008614F7"/>
    <w:rsid w:val="00861B0F"/>
    <w:rsid w:val="008654CC"/>
    <w:rsid w:val="00867049"/>
    <w:rsid w:val="00867FB1"/>
    <w:rsid w:val="00876598"/>
    <w:rsid w:val="00876FA7"/>
    <w:rsid w:val="0089104F"/>
    <w:rsid w:val="00892690"/>
    <w:rsid w:val="008936B8"/>
    <w:rsid w:val="00896027"/>
    <w:rsid w:val="00897D92"/>
    <w:rsid w:val="008A0C43"/>
    <w:rsid w:val="008A14AE"/>
    <w:rsid w:val="008A543A"/>
    <w:rsid w:val="008B2384"/>
    <w:rsid w:val="008B2CCC"/>
    <w:rsid w:val="008B6008"/>
    <w:rsid w:val="008B6B85"/>
    <w:rsid w:val="008C0A36"/>
    <w:rsid w:val="008C1849"/>
    <w:rsid w:val="008C2C82"/>
    <w:rsid w:val="008C5669"/>
    <w:rsid w:val="008C7781"/>
    <w:rsid w:val="008D05A2"/>
    <w:rsid w:val="008D099B"/>
    <w:rsid w:val="008E2550"/>
    <w:rsid w:val="008E39DD"/>
    <w:rsid w:val="008E4FA1"/>
    <w:rsid w:val="008E5596"/>
    <w:rsid w:val="008E5BBF"/>
    <w:rsid w:val="008F010F"/>
    <w:rsid w:val="008F1F44"/>
    <w:rsid w:val="008F3E06"/>
    <w:rsid w:val="008F455B"/>
    <w:rsid w:val="00902A21"/>
    <w:rsid w:val="0090576A"/>
    <w:rsid w:val="00905CB4"/>
    <w:rsid w:val="0091349A"/>
    <w:rsid w:val="00915E47"/>
    <w:rsid w:val="00921BC5"/>
    <w:rsid w:val="0092203C"/>
    <w:rsid w:val="00922316"/>
    <w:rsid w:val="00926258"/>
    <w:rsid w:val="00932929"/>
    <w:rsid w:val="009353A0"/>
    <w:rsid w:val="00936658"/>
    <w:rsid w:val="0094407E"/>
    <w:rsid w:val="00951547"/>
    <w:rsid w:val="00952247"/>
    <w:rsid w:val="009552E8"/>
    <w:rsid w:val="009557CD"/>
    <w:rsid w:val="0096093A"/>
    <w:rsid w:val="00960BFF"/>
    <w:rsid w:val="009661C6"/>
    <w:rsid w:val="00971542"/>
    <w:rsid w:val="00971DEC"/>
    <w:rsid w:val="00972B31"/>
    <w:rsid w:val="009741A6"/>
    <w:rsid w:val="009770EF"/>
    <w:rsid w:val="00981C7F"/>
    <w:rsid w:val="00981ED4"/>
    <w:rsid w:val="00985E28"/>
    <w:rsid w:val="00986CE4"/>
    <w:rsid w:val="009906FD"/>
    <w:rsid w:val="0099221A"/>
    <w:rsid w:val="0099270D"/>
    <w:rsid w:val="009969BB"/>
    <w:rsid w:val="00997E01"/>
    <w:rsid w:val="009A1ABB"/>
    <w:rsid w:val="009A307E"/>
    <w:rsid w:val="009A5CA8"/>
    <w:rsid w:val="009B101D"/>
    <w:rsid w:val="009B137C"/>
    <w:rsid w:val="009B253D"/>
    <w:rsid w:val="009C4E8A"/>
    <w:rsid w:val="009C5A25"/>
    <w:rsid w:val="009C664B"/>
    <w:rsid w:val="009D02BC"/>
    <w:rsid w:val="009D13DB"/>
    <w:rsid w:val="009D1834"/>
    <w:rsid w:val="009D22B2"/>
    <w:rsid w:val="009D2C67"/>
    <w:rsid w:val="009D4388"/>
    <w:rsid w:val="009D6D5E"/>
    <w:rsid w:val="009E1244"/>
    <w:rsid w:val="009E2275"/>
    <w:rsid w:val="009E2A0B"/>
    <w:rsid w:val="009E3E5A"/>
    <w:rsid w:val="009F1D44"/>
    <w:rsid w:val="009F3BD9"/>
    <w:rsid w:val="00A05839"/>
    <w:rsid w:val="00A05D17"/>
    <w:rsid w:val="00A06520"/>
    <w:rsid w:val="00A071FC"/>
    <w:rsid w:val="00A07292"/>
    <w:rsid w:val="00A10BEE"/>
    <w:rsid w:val="00A12300"/>
    <w:rsid w:val="00A1330E"/>
    <w:rsid w:val="00A16825"/>
    <w:rsid w:val="00A22718"/>
    <w:rsid w:val="00A22A7F"/>
    <w:rsid w:val="00A24151"/>
    <w:rsid w:val="00A25AAE"/>
    <w:rsid w:val="00A266E3"/>
    <w:rsid w:val="00A27D2A"/>
    <w:rsid w:val="00A30549"/>
    <w:rsid w:val="00A317CE"/>
    <w:rsid w:val="00A32299"/>
    <w:rsid w:val="00A35FF7"/>
    <w:rsid w:val="00A379FB"/>
    <w:rsid w:val="00A37F86"/>
    <w:rsid w:val="00A4160B"/>
    <w:rsid w:val="00A42280"/>
    <w:rsid w:val="00A432A3"/>
    <w:rsid w:val="00A43F7A"/>
    <w:rsid w:val="00A4460C"/>
    <w:rsid w:val="00A459E8"/>
    <w:rsid w:val="00A45F48"/>
    <w:rsid w:val="00A463AF"/>
    <w:rsid w:val="00A4770A"/>
    <w:rsid w:val="00A52514"/>
    <w:rsid w:val="00A53AA7"/>
    <w:rsid w:val="00A55654"/>
    <w:rsid w:val="00A55CE5"/>
    <w:rsid w:val="00A620C7"/>
    <w:rsid w:val="00A62225"/>
    <w:rsid w:val="00A627D3"/>
    <w:rsid w:val="00A644C5"/>
    <w:rsid w:val="00A64974"/>
    <w:rsid w:val="00A64B2A"/>
    <w:rsid w:val="00A72252"/>
    <w:rsid w:val="00A7313F"/>
    <w:rsid w:val="00A74169"/>
    <w:rsid w:val="00A806C7"/>
    <w:rsid w:val="00A8290D"/>
    <w:rsid w:val="00A86742"/>
    <w:rsid w:val="00A906F6"/>
    <w:rsid w:val="00A90E59"/>
    <w:rsid w:val="00A96A70"/>
    <w:rsid w:val="00A9789D"/>
    <w:rsid w:val="00AA1993"/>
    <w:rsid w:val="00AA26CE"/>
    <w:rsid w:val="00AA3E1B"/>
    <w:rsid w:val="00AB1B3E"/>
    <w:rsid w:val="00AB6541"/>
    <w:rsid w:val="00AB6C76"/>
    <w:rsid w:val="00AB79B0"/>
    <w:rsid w:val="00AC1903"/>
    <w:rsid w:val="00AC333A"/>
    <w:rsid w:val="00AC4A73"/>
    <w:rsid w:val="00AC5566"/>
    <w:rsid w:val="00AC693F"/>
    <w:rsid w:val="00AD12A7"/>
    <w:rsid w:val="00AD1435"/>
    <w:rsid w:val="00AD2F76"/>
    <w:rsid w:val="00AD371E"/>
    <w:rsid w:val="00AD37DA"/>
    <w:rsid w:val="00AE02FB"/>
    <w:rsid w:val="00AE1263"/>
    <w:rsid w:val="00AE13AE"/>
    <w:rsid w:val="00AE354F"/>
    <w:rsid w:val="00AE4F60"/>
    <w:rsid w:val="00AE52FA"/>
    <w:rsid w:val="00AE70D1"/>
    <w:rsid w:val="00AF1007"/>
    <w:rsid w:val="00AF42C7"/>
    <w:rsid w:val="00AF4362"/>
    <w:rsid w:val="00AF44B2"/>
    <w:rsid w:val="00AF6AD7"/>
    <w:rsid w:val="00AF7F1F"/>
    <w:rsid w:val="00B008B6"/>
    <w:rsid w:val="00B00F52"/>
    <w:rsid w:val="00B01058"/>
    <w:rsid w:val="00B0507D"/>
    <w:rsid w:val="00B06ED3"/>
    <w:rsid w:val="00B12539"/>
    <w:rsid w:val="00B14963"/>
    <w:rsid w:val="00B25497"/>
    <w:rsid w:val="00B2778D"/>
    <w:rsid w:val="00B344AD"/>
    <w:rsid w:val="00B35367"/>
    <w:rsid w:val="00B42552"/>
    <w:rsid w:val="00B4317C"/>
    <w:rsid w:val="00B46564"/>
    <w:rsid w:val="00B56DCC"/>
    <w:rsid w:val="00B57059"/>
    <w:rsid w:val="00B61ACC"/>
    <w:rsid w:val="00B64B70"/>
    <w:rsid w:val="00B65CAE"/>
    <w:rsid w:val="00B66735"/>
    <w:rsid w:val="00B66857"/>
    <w:rsid w:val="00B717A7"/>
    <w:rsid w:val="00B71ACB"/>
    <w:rsid w:val="00B747A9"/>
    <w:rsid w:val="00B77068"/>
    <w:rsid w:val="00B813E2"/>
    <w:rsid w:val="00B83905"/>
    <w:rsid w:val="00B84795"/>
    <w:rsid w:val="00B9305C"/>
    <w:rsid w:val="00B94749"/>
    <w:rsid w:val="00B956E3"/>
    <w:rsid w:val="00BA093F"/>
    <w:rsid w:val="00BA140F"/>
    <w:rsid w:val="00BA3B94"/>
    <w:rsid w:val="00BA7C19"/>
    <w:rsid w:val="00BB0546"/>
    <w:rsid w:val="00BB0DA2"/>
    <w:rsid w:val="00BB19DC"/>
    <w:rsid w:val="00BB3DED"/>
    <w:rsid w:val="00BB57B0"/>
    <w:rsid w:val="00BB62BF"/>
    <w:rsid w:val="00BB7932"/>
    <w:rsid w:val="00BC04A1"/>
    <w:rsid w:val="00BC2EBB"/>
    <w:rsid w:val="00BC4FAF"/>
    <w:rsid w:val="00BD159D"/>
    <w:rsid w:val="00BD23E3"/>
    <w:rsid w:val="00BD79D7"/>
    <w:rsid w:val="00BE1785"/>
    <w:rsid w:val="00BE3252"/>
    <w:rsid w:val="00BE3FBE"/>
    <w:rsid w:val="00BF0B78"/>
    <w:rsid w:val="00BF1655"/>
    <w:rsid w:val="00BF2274"/>
    <w:rsid w:val="00BF2C28"/>
    <w:rsid w:val="00BF4450"/>
    <w:rsid w:val="00BF77BD"/>
    <w:rsid w:val="00BF7869"/>
    <w:rsid w:val="00BF7E9F"/>
    <w:rsid w:val="00C01032"/>
    <w:rsid w:val="00C015DB"/>
    <w:rsid w:val="00C03BB3"/>
    <w:rsid w:val="00C048B2"/>
    <w:rsid w:val="00C07BE9"/>
    <w:rsid w:val="00C10ABD"/>
    <w:rsid w:val="00C1110E"/>
    <w:rsid w:val="00C1158F"/>
    <w:rsid w:val="00C13B48"/>
    <w:rsid w:val="00C17E79"/>
    <w:rsid w:val="00C20F41"/>
    <w:rsid w:val="00C20FD2"/>
    <w:rsid w:val="00C25283"/>
    <w:rsid w:val="00C26D98"/>
    <w:rsid w:val="00C2763E"/>
    <w:rsid w:val="00C30675"/>
    <w:rsid w:val="00C33B51"/>
    <w:rsid w:val="00C34DE2"/>
    <w:rsid w:val="00C4077A"/>
    <w:rsid w:val="00C408C7"/>
    <w:rsid w:val="00C42020"/>
    <w:rsid w:val="00C43CA6"/>
    <w:rsid w:val="00C4418D"/>
    <w:rsid w:val="00C44828"/>
    <w:rsid w:val="00C6062B"/>
    <w:rsid w:val="00C63EC2"/>
    <w:rsid w:val="00C649DD"/>
    <w:rsid w:val="00C6663A"/>
    <w:rsid w:val="00C71619"/>
    <w:rsid w:val="00C7314B"/>
    <w:rsid w:val="00C75724"/>
    <w:rsid w:val="00C75CC3"/>
    <w:rsid w:val="00C76CBC"/>
    <w:rsid w:val="00C872D7"/>
    <w:rsid w:val="00C9370F"/>
    <w:rsid w:val="00CA3B96"/>
    <w:rsid w:val="00CA4529"/>
    <w:rsid w:val="00CB15AF"/>
    <w:rsid w:val="00CB52E1"/>
    <w:rsid w:val="00CB6610"/>
    <w:rsid w:val="00CB6794"/>
    <w:rsid w:val="00CC2C87"/>
    <w:rsid w:val="00CC6A5C"/>
    <w:rsid w:val="00CD0067"/>
    <w:rsid w:val="00CD2072"/>
    <w:rsid w:val="00CD7979"/>
    <w:rsid w:val="00CE0AC6"/>
    <w:rsid w:val="00CE1EE5"/>
    <w:rsid w:val="00CE5F89"/>
    <w:rsid w:val="00CE6A19"/>
    <w:rsid w:val="00CF33F5"/>
    <w:rsid w:val="00CF48DA"/>
    <w:rsid w:val="00D01B29"/>
    <w:rsid w:val="00D01FDC"/>
    <w:rsid w:val="00D02953"/>
    <w:rsid w:val="00D03A92"/>
    <w:rsid w:val="00D04F11"/>
    <w:rsid w:val="00D063FB"/>
    <w:rsid w:val="00D06A93"/>
    <w:rsid w:val="00D12F18"/>
    <w:rsid w:val="00D12FDA"/>
    <w:rsid w:val="00D137C7"/>
    <w:rsid w:val="00D14A9B"/>
    <w:rsid w:val="00D15AC0"/>
    <w:rsid w:val="00D16AA8"/>
    <w:rsid w:val="00D210B8"/>
    <w:rsid w:val="00D21B97"/>
    <w:rsid w:val="00D225F4"/>
    <w:rsid w:val="00D22857"/>
    <w:rsid w:val="00D2346D"/>
    <w:rsid w:val="00D239A0"/>
    <w:rsid w:val="00D3136B"/>
    <w:rsid w:val="00D3139D"/>
    <w:rsid w:val="00D42817"/>
    <w:rsid w:val="00D42ECA"/>
    <w:rsid w:val="00D4442F"/>
    <w:rsid w:val="00D522C1"/>
    <w:rsid w:val="00D532DD"/>
    <w:rsid w:val="00D56EAB"/>
    <w:rsid w:val="00D57541"/>
    <w:rsid w:val="00D62524"/>
    <w:rsid w:val="00D64269"/>
    <w:rsid w:val="00D66677"/>
    <w:rsid w:val="00D66903"/>
    <w:rsid w:val="00D66CDB"/>
    <w:rsid w:val="00D66F91"/>
    <w:rsid w:val="00D67DAA"/>
    <w:rsid w:val="00D721F6"/>
    <w:rsid w:val="00D7544F"/>
    <w:rsid w:val="00D7548F"/>
    <w:rsid w:val="00D76B3F"/>
    <w:rsid w:val="00D774E9"/>
    <w:rsid w:val="00D840E0"/>
    <w:rsid w:val="00D848EC"/>
    <w:rsid w:val="00D8749A"/>
    <w:rsid w:val="00D90AC7"/>
    <w:rsid w:val="00D9120A"/>
    <w:rsid w:val="00D918AE"/>
    <w:rsid w:val="00D93631"/>
    <w:rsid w:val="00D94B83"/>
    <w:rsid w:val="00D94FD5"/>
    <w:rsid w:val="00D9740B"/>
    <w:rsid w:val="00DA29D6"/>
    <w:rsid w:val="00DA29E1"/>
    <w:rsid w:val="00DA3328"/>
    <w:rsid w:val="00DB1CF8"/>
    <w:rsid w:val="00DB7EE9"/>
    <w:rsid w:val="00DC438B"/>
    <w:rsid w:val="00DC54DB"/>
    <w:rsid w:val="00DC5579"/>
    <w:rsid w:val="00DC70E9"/>
    <w:rsid w:val="00DC72D4"/>
    <w:rsid w:val="00DC78E0"/>
    <w:rsid w:val="00DD0EA6"/>
    <w:rsid w:val="00DD5131"/>
    <w:rsid w:val="00DE1F17"/>
    <w:rsid w:val="00DE63C1"/>
    <w:rsid w:val="00DE7509"/>
    <w:rsid w:val="00DF1745"/>
    <w:rsid w:val="00DF7353"/>
    <w:rsid w:val="00DF79CB"/>
    <w:rsid w:val="00E0676B"/>
    <w:rsid w:val="00E11818"/>
    <w:rsid w:val="00E124AD"/>
    <w:rsid w:val="00E12E90"/>
    <w:rsid w:val="00E15B40"/>
    <w:rsid w:val="00E16823"/>
    <w:rsid w:val="00E207D2"/>
    <w:rsid w:val="00E20A46"/>
    <w:rsid w:val="00E20DB4"/>
    <w:rsid w:val="00E211E6"/>
    <w:rsid w:val="00E21DA8"/>
    <w:rsid w:val="00E2257D"/>
    <w:rsid w:val="00E25EC8"/>
    <w:rsid w:val="00E40691"/>
    <w:rsid w:val="00E451BE"/>
    <w:rsid w:val="00E47B37"/>
    <w:rsid w:val="00E50152"/>
    <w:rsid w:val="00E512F7"/>
    <w:rsid w:val="00E55949"/>
    <w:rsid w:val="00E56F1C"/>
    <w:rsid w:val="00E57FB6"/>
    <w:rsid w:val="00E614A2"/>
    <w:rsid w:val="00E66456"/>
    <w:rsid w:val="00E73D10"/>
    <w:rsid w:val="00E76742"/>
    <w:rsid w:val="00E76D67"/>
    <w:rsid w:val="00E8011B"/>
    <w:rsid w:val="00E8159D"/>
    <w:rsid w:val="00E823E2"/>
    <w:rsid w:val="00E8288D"/>
    <w:rsid w:val="00E85A4D"/>
    <w:rsid w:val="00E868BA"/>
    <w:rsid w:val="00E91284"/>
    <w:rsid w:val="00E912DE"/>
    <w:rsid w:val="00E95512"/>
    <w:rsid w:val="00E95693"/>
    <w:rsid w:val="00E96942"/>
    <w:rsid w:val="00EA08A2"/>
    <w:rsid w:val="00EA2F18"/>
    <w:rsid w:val="00EA2F60"/>
    <w:rsid w:val="00EA44FD"/>
    <w:rsid w:val="00EA452F"/>
    <w:rsid w:val="00EA6701"/>
    <w:rsid w:val="00EB0EFA"/>
    <w:rsid w:val="00EB1B6D"/>
    <w:rsid w:val="00EB22FD"/>
    <w:rsid w:val="00EB3043"/>
    <w:rsid w:val="00EB53C8"/>
    <w:rsid w:val="00EB5AFE"/>
    <w:rsid w:val="00EB729F"/>
    <w:rsid w:val="00EC63B0"/>
    <w:rsid w:val="00ED0C70"/>
    <w:rsid w:val="00ED6186"/>
    <w:rsid w:val="00EE1E52"/>
    <w:rsid w:val="00EE374F"/>
    <w:rsid w:val="00EE3774"/>
    <w:rsid w:val="00EE6B55"/>
    <w:rsid w:val="00EE6DBB"/>
    <w:rsid w:val="00EE6F2A"/>
    <w:rsid w:val="00EE7190"/>
    <w:rsid w:val="00EE7B83"/>
    <w:rsid w:val="00EF1A46"/>
    <w:rsid w:val="00EF30BC"/>
    <w:rsid w:val="00EF39F4"/>
    <w:rsid w:val="00EF73FC"/>
    <w:rsid w:val="00F05E33"/>
    <w:rsid w:val="00F067CB"/>
    <w:rsid w:val="00F0696B"/>
    <w:rsid w:val="00F073FC"/>
    <w:rsid w:val="00F12E17"/>
    <w:rsid w:val="00F142D9"/>
    <w:rsid w:val="00F1597D"/>
    <w:rsid w:val="00F20BDE"/>
    <w:rsid w:val="00F26E5E"/>
    <w:rsid w:val="00F27637"/>
    <w:rsid w:val="00F31728"/>
    <w:rsid w:val="00F31831"/>
    <w:rsid w:val="00F3351F"/>
    <w:rsid w:val="00F35D2B"/>
    <w:rsid w:val="00F36981"/>
    <w:rsid w:val="00F4099F"/>
    <w:rsid w:val="00F42132"/>
    <w:rsid w:val="00F45D23"/>
    <w:rsid w:val="00F47A60"/>
    <w:rsid w:val="00F52DC5"/>
    <w:rsid w:val="00F52E1C"/>
    <w:rsid w:val="00F53A5E"/>
    <w:rsid w:val="00F54933"/>
    <w:rsid w:val="00F56CBF"/>
    <w:rsid w:val="00F614C6"/>
    <w:rsid w:val="00F635AF"/>
    <w:rsid w:val="00F66E5A"/>
    <w:rsid w:val="00F672C8"/>
    <w:rsid w:val="00F717B4"/>
    <w:rsid w:val="00F90329"/>
    <w:rsid w:val="00F94F5F"/>
    <w:rsid w:val="00F9577D"/>
    <w:rsid w:val="00F96690"/>
    <w:rsid w:val="00FA054F"/>
    <w:rsid w:val="00FA08E6"/>
    <w:rsid w:val="00FA33A0"/>
    <w:rsid w:val="00FA3A9E"/>
    <w:rsid w:val="00FA4217"/>
    <w:rsid w:val="00FA703D"/>
    <w:rsid w:val="00FB1127"/>
    <w:rsid w:val="00FB2551"/>
    <w:rsid w:val="00FB32FA"/>
    <w:rsid w:val="00FB65A9"/>
    <w:rsid w:val="00FC1564"/>
    <w:rsid w:val="00FC40D5"/>
    <w:rsid w:val="00FC7420"/>
    <w:rsid w:val="00FD127B"/>
    <w:rsid w:val="00FD424E"/>
    <w:rsid w:val="00FD6D67"/>
    <w:rsid w:val="00FE02C0"/>
    <w:rsid w:val="00FE067B"/>
    <w:rsid w:val="00FE356C"/>
    <w:rsid w:val="00FF4ECA"/>
    <w:rsid w:val="00FF5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2457A3"/>
  <w15:docId w15:val="{DEAA6BDF-8EF5-44FA-B99E-EB677807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EA2F60"/>
    <w:pPr>
      <w:keepNext/>
      <w:keepLines/>
      <w:spacing w:before="240" w:after="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60"/>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link w:val="ListParagraphChar"/>
    <w:uiPriority w:val="34"/>
    <w:unhideWhenUsed/>
    <w:qFormat/>
    <w:rsid w:val="00E823E2"/>
    <w:pPr>
      <w:ind w:left="720"/>
      <w:contextualSpacing/>
    </w:pPr>
  </w:style>
  <w:style w:type="paragraph" w:styleId="Revision">
    <w:name w:val="Revision"/>
    <w:hidden/>
    <w:uiPriority w:val="99"/>
    <w:semiHidden/>
    <w:rsid w:val="00797359"/>
    <w:pPr>
      <w:spacing w:after="0" w:line="240" w:lineRule="auto"/>
    </w:pPr>
  </w:style>
  <w:style w:type="paragraph" w:styleId="BodyText">
    <w:name w:val="Body Text"/>
    <w:basedOn w:val="Normal"/>
    <w:link w:val="BodyTextChar"/>
    <w:uiPriority w:val="99"/>
    <w:unhideWhenUsed/>
    <w:rsid w:val="003F7B8C"/>
    <w:pPr>
      <w:spacing w:after="120"/>
    </w:pPr>
  </w:style>
  <w:style w:type="character" w:customStyle="1" w:styleId="BodyTextChar">
    <w:name w:val="Body Text Char"/>
    <w:basedOn w:val="DefaultParagraphFont"/>
    <w:link w:val="BodyText"/>
    <w:uiPriority w:val="99"/>
    <w:rsid w:val="003F7B8C"/>
  </w:style>
  <w:style w:type="paragraph" w:styleId="NormalWeb">
    <w:name w:val="Normal (Web)"/>
    <w:basedOn w:val="Normal"/>
    <w:uiPriority w:val="99"/>
    <w:semiHidden/>
    <w:unhideWhenUsed/>
    <w:rsid w:val="000B69C2"/>
    <w:pPr>
      <w:spacing w:before="100" w:beforeAutospacing="1" w:after="100" w:afterAutospacing="1" w:line="240" w:lineRule="auto"/>
    </w:pPr>
    <w:rPr>
      <w:rFonts w:ascii="Times New Roman" w:hAnsi="Times New Roman" w:cs="Times New Roman"/>
      <w:sz w:val="24"/>
      <w:szCs w:val="24"/>
      <w:lang w:val="en-CA" w:eastAsia="en-US"/>
    </w:rPr>
  </w:style>
  <w:style w:type="table" w:styleId="TableGrid">
    <w:name w:val="Table Grid"/>
    <w:basedOn w:val="TableNormal"/>
    <w:uiPriority w:val="59"/>
    <w:rsid w:val="00B8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WFSLetterDate">
    <w:name w:val="PWFSLetterDate"/>
    <w:uiPriority w:val="99"/>
    <w:rsid w:val="00D42817"/>
    <w:rPr>
      <w:rFonts w:ascii="CG Times" w:hAnsi="CG Times" w:cs="Times New Roman"/>
      <w:sz w:val="24"/>
      <w:lang w:val="en-US"/>
    </w:rPr>
  </w:style>
  <w:style w:type="paragraph" w:styleId="NoSpacing">
    <w:name w:val="No Spacing"/>
    <w:uiPriority w:val="1"/>
    <w:qFormat/>
    <w:rsid w:val="006C3860"/>
    <w:pPr>
      <w:spacing w:after="0" w:line="240" w:lineRule="auto"/>
    </w:pPr>
    <w:rPr>
      <w:rFonts w:ascii="Times New Roman" w:eastAsia="SimSun" w:hAnsi="Times New Roman" w:cs="Times New Roman"/>
      <w:lang w:val="en-CA" w:eastAsia="en-US"/>
    </w:rPr>
  </w:style>
  <w:style w:type="character" w:customStyle="1" w:styleId="ListParagraphChar">
    <w:name w:val="List Paragraph Char"/>
    <w:basedOn w:val="DefaultParagraphFont"/>
    <w:link w:val="ListParagraph"/>
    <w:uiPriority w:val="34"/>
    <w:rsid w:val="009D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5498">
      <w:bodyDiv w:val="1"/>
      <w:marLeft w:val="0"/>
      <w:marRight w:val="0"/>
      <w:marTop w:val="0"/>
      <w:marBottom w:val="0"/>
      <w:divBdr>
        <w:top w:val="none" w:sz="0" w:space="0" w:color="auto"/>
        <w:left w:val="none" w:sz="0" w:space="0" w:color="auto"/>
        <w:bottom w:val="none" w:sz="0" w:space="0" w:color="auto"/>
        <w:right w:val="none" w:sz="0" w:space="0" w:color="auto"/>
      </w:divBdr>
    </w:div>
    <w:div w:id="1608855967">
      <w:bodyDiv w:val="1"/>
      <w:marLeft w:val="0"/>
      <w:marRight w:val="0"/>
      <w:marTop w:val="0"/>
      <w:marBottom w:val="0"/>
      <w:divBdr>
        <w:top w:val="none" w:sz="0" w:space="0" w:color="auto"/>
        <w:left w:val="none" w:sz="0" w:space="0" w:color="auto"/>
        <w:bottom w:val="none" w:sz="0" w:space="0" w:color="auto"/>
        <w:right w:val="none" w:sz="0" w:space="0" w:color="auto"/>
      </w:divBdr>
    </w:div>
    <w:div w:id="16766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pdebt.ca/en/resources/mnp-debt-blog/mnp-consumer-debt-index-reaches-lowest-point-ever-recorded-as-covid-lockdown-measures-continu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btsolutions.bdo.ca/our-people/bdo-in-the-news/bdo-canada-affordability-index-201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btsolutions.bdo.ca/our-people/bdo-in-the-news/bdo-canada-affordability-index-2019-2/" TargetMode="External"/><Relationship Id="rId5" Type="http://schemas.openxmlformats.org/officeDocument/2006/relationships/numbering" Target="numbering.xml"/><Relationship Id="rId15" Type="http://schemas.openxmlformats.org/officeDocument/2006/relationships/hyperlink" Target="https://www.cbc.ca/news/business/statistics-canada-debt-1.56095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pdebt.ca/en/resources/mnp-debt-blog/mnp-consumer-debt-index-reaches-lowest-point-ever-recorded-as-covid-lockdown-measures-contin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F1906CFFB84A4EB48742836ADA0AEC" ma:contentTypeVersion="12" ma:contentTypeDescription="Create a new document." ma:contentTypeScope="" ma:versionID="bf4335c8a9054fa7b3e8a5f8c506395e">
  <xsd:schema xmlns:xsd="http://www.w3.org/2001/XMLSchema" xmlns:xs="http://www.w3.org/2001/XMLSchema" xmlns:p="http://schemas.microsoft.com/office/2006/metadata/properties" xmlns:ns2="20019a79-bc6e-48e0-b086-f3b0eb31356a" xmlns:ns3="ae714cbd-9385-46e6-845f-d31628cf94d1" targetNamespace="http://schemas.microsoft.com/office/2006/metadata/properties" ma:root="true" ma:fieldsID="d4953c328915299ca1c08226fbd3b4ae" ns2:_="" ns3:_="">
    <xsd:import namespace="20019a79-bc6e-48e0-b086-f3b0eb31356a"/>
    <xsd:import namespace="ae714cbd-9385-46e6-845f-d31628cf94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9a79-bc6e-48e0-b086-f3b0eb313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14cbd-9385-46e6-845f-d31628cf9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65839-E773-460A-95D3-E72749056FDB}">
  <ds:schemaRefs>
    <ds:schemaRef ds:uri="http://schemas.microsoft.com/sharepoint/v3/contenttype/forms"/>
  </ds:schemaRefs>
</ds:datastoreItem>
</file>

<file path=customXml/itemProps2.xml><?xml version="1.0" encoding="utf-8"?>
<ds:datastoreItem xmlns:ds="http://schemas.openxmlformats.org/officeDocument/2006/customXml" ds:itemID="{001D0B8F-8787-40F4-B5E1-0EC0C908C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E66F3-1A29-4E73-9FA9-6BF81941934A}">
  <ds:schemaRefs>
    <ds:schemaRef ds:uri="http://schemas.openxmlformats.org/officeDocument/2006/bibliography"/>
  </ds:schemaRefs>
</ds:datastoreItem>
</file>

<file path=customXml/itemProps4.xml><?xml version="1.0" encoding="utf-8"?>
<ds:datastoreItem xmlns:ds="http://schemas.openxmlformats.org/officeDocument/2006/customXml" ds:itemID="{DA6B7E96-837A-4356-8D7D-6284798762F3}"/>
</file>

<file path=docProps/app.xml><?xml version="1.0" encoding="utf-8"?>
<Properties xmlns="http://schemas.openxmlformats.org/officeDocument/2006/extended-properties" xmlns:vt="http://schemas.openxmlformats.org/officeDocument/2006/docPropsVTypes">
  <Template>Spec design (blank).dotx</Template>
  <TotalTime>1</TotalTime>
  <Pages>17</Pages>
  <Words>9214</Words>
  <Characters>52520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MRBL - MDA</vt:lpstr>
    </vt:vector>
  </TitlesOfParts>
  <Company>Toshiba</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MRBL - MDA</dc:title>
  <dc:creator>Ron</dc:creator>
  <cp:lastModifiedBy>Natasha Tsai</cp:lastModifiedBy>
  <cp:revision>3</cp:revision>
  <cp:lastPrinted>2019-05-28T22:37:00Z</cp:lastPrinted>
  <dcterms:created xsi:type="dcterms:W3CDTF">2021-08-30T20:46:00Z</dcterms:created>
  <dcterms:modified xsi:type="dcterms:W3CDTF">2021-08-30T20:47:00Z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0x0101001BF1906CFFB84A4EB48742836ADA0AEC</vt:lpwstr>
  </property>
</Properties>
</file>